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AC" w:rsidRDefault="00B35EE0">
      <w:pPr>
        <w:spacing w:line="360" w:lineRule="auto"/>
        <w:jc w:val="center"/>
        <w:rPr>
          <w:rFonts w:ascii="Times New Roman" w:hAnsi="Times New Roman"/>
          <w:b/>
          <w:sz w:val="28"/>
          <w:szCs w:val="24"/>
        </w:rPr>
      </w:pPr>
      <w:r>
        <w:rPr>
          <w:rFonts w:ascii="Times New Roman" w:hAnsi="Times New Roman" w:hint="eastAsia"/>
          <w:b/>
          <w:sz w:val="28"/>
          <w:szCs w:val="24"/>
        </w:rPr>
        <w:t>民生加银恒祥债券型证券投资基金调整最低申购金额</w:t>
      </w:r>
      <w:r w:rsidR="00700B5D">
        <w:rPr>
          <w:rFonts w:ascii="Times New Roman" w:hAnsi="Times New Roman" w:hint="eastAsia"/>
          <w:b/>
          <w:sz w:val="28"/>
          <w:szCs w:val="24"/>
        </w:rPr>
        <w:t>、</w:t>
      </w:r>
      <w:r>
        <w:rPr>
          <w:rFonts w:ascii="Times New Roman" w:hAnsi="Times New Roman"/>
          <w:b/>
          <w:sz w:val="28"/>
          <w:szCs w:val="24"/>
        </w:rPr>
        <w:t>最低</w:t>
      </w:r>
      <w:r>
        <w:rPr>
          <w:rFonts w:ascii="Times New Roman" w:hAnsi="Times New Roman" w:hint="eastAsia"/>
          <w:b/>
          <w:sz w:val="28"/>
          <w:szCs w:val="24"/>
        </w:rPr>
        <w:t>赎回份额</w:t>
      </w:r>
      <w:r w:rsidR="00700B5D">
        <w:rPr>
          <w:rFonts w:ascii="Times New Roman" w:hAnsi="Times New Roman" w:hint="eastAsia"/>
          <w:b/>
          <w:sz w:val="28"/>
          <w:szCs w:val="24"/>
        </w:rPr>
        <w:t>和</w:t>
      </w:r>
      <w:r>
        <w:rPr>
          <w:rFonts w:ascii="Times New Roman" w:hAnsi="Times New Roman" w:hint="eastAsia"/>
          <w:b/>
          <w:sz w:val="28"/>
          <w:szCs w:val="24"/>
        </w:rPr>
        <w:t>最低持有份额数量限制的公告</w:t>
      </w:r>
    </w:p>
    <w:p w:rsidR="007C23AC" w:rsidRDefault="007C23AC">
      <w:pPr>
        <w:spacing w:line="360" w:lineRule="auto"/>
        <w:rPr>
          <w:rFonts w:ascii="Times New Roman" w:hAnsi="Times New Roman"/>
          <w:sz w:val="24"/>
          <w:szCs w:val="24"/>
        </w:rPr>
      </w:pPr>
    </w:p>
    <w:p w:rsidR="007C23AC" w:rsidRDefault="00B35EE0">
      <w:pPr>
        <w:spacing w:line="360" w:lineRule="auto"/>
        <w:ind w:firstLine="420"/>
        <w:rPr>
          <w:rFonts w:ascii="Times New Roman" w:hAnsi="Times New Roman"/>
          <w:sz w:val="24"/>
          <w:szCs w:val="24"/>
        </w:rPr>
      </w:pPr>
      <w:r>
        <w:rPr>
          <w:rFonts w:ascii="Times New Roman" w:hAnsi="Times New Roman"/>
          <w:sz w:val="24"/>
          <w:szCs w:val="24"/>
        </w:rPr>
        <w:t>为更好地满足投资者的理财需求，</w:t>
      </w:r>
      <w:r>
        <w:rPr>
          <w:rFonts w:ascii="Times New Roman" w:hAnsi="Times New Roman" w:hint="eastAsia"/>
          <w:sz w:val="24"/>
          <w:szCs w:val="24"/>
        </w:rPr>
        <w:t>民生加银基金</w:t>
      </w:r>
      <w:r>
        <w:rPr>
          <w:rFonts w:ascii="Times New Roman" w:hAnsi="Times New Roman"/>
          <w:sz w:val="24"/>
          <w:szCs w:val="24"/>
        </w:rPr>
        <w:t>管理有限公司（以下简称</w:t>
      </w:r>
      <w:r>
        <w:rPr>
          <w:rFonts w:ascii="Times New Roman" w:hAnsi="Times New Roman"/>
          <w:sz w:val="24"/>
          <w:szCs w:val="24"/>
        </w:rPr>
        <w:t>“</w:t>
      </w:r>
      <w:r>
        <w:rPr>
          <w:rFonts w:ascii="Times New Roman" w:hAnsi="Times New Roman"/>
          <w:sz w:val="24"/>
          <w:szCs w:val="24"/>
        </w:rPr>
        <w:t>本公司</w:t>
      </w:r>
      <w:r>
        <w:rPr>
          <w:rFonts w:ascii="Times New Roman" w:hAnsi="Times New Roman"/>
          <w:sz w:val="24"/>
          <w:szCs w:val="24"/>
        </w:rPr>
        <w:t>”</w:t>
      </w:r>
      <w:r>
        <w:rPr>
          <w:rFonts w:ascii="Times New Roman" w:hAnsi="Times New Roman"/>
          <w:sz w:val="24"/>
          <w:szCs w:val="24"/>
        </w:rPr>
        <w:t>）决定自</w:t>
      </w:r>
      <w:r>
        <w:rPr>
          <w:rFonts w:ascii="Times New Roman" w:hAnsi="Times New Roman"/>
          <w:sz w:val="24"/>
          <w:szCs w:val="24"/>
        </w:rPr>
        <w:t>2023</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30</w:t>
      </w:r>
      <w:r>
        <w:rPr>
          <w:rFonts w:ascii="Times New Roman" w:hAnsi="Times New Roman"/>
          <w:sz w:val="24"/>
          <w:szCs w:val="24"/>
        </w:rPr>
        <w:t>日</w:t>
      </w:r>
      <w:bookmarkStart w:id="0" w:name="_GoBack"/>
      <w:bookmarkEnd w:id="0"/>
      <w:r>
        <w:rPr>
          <w:rFonts w:ascii="Times New Roman" w:hAnsi="Times New Roman"/>
          <w:sz w:val="24"/>
          <w:szCs w:val="24"/>
        </w:rPr>
        <w:t>起，调整本公司旗下</w:t>
      </w:r>
      <w:r>
        <w:rPr>
          <w:rFonts w:ascii="Times New Roman" w:hAnsi="Times New Roman" w:hint="eastAsia"/>
          <w:sz w:val="24"/>
          <w:szCs w:val="24"/>
        </w:rPr>
        <w:t>民生加银恒祥债券型证券投资基金（以下简称“本基金”，基金代码：</w:t>
      </w:r>
      <w:r>
        <w:rPr>
          <w:rFonts w:ascii="Times New Roman" w:hAnsi="Times New Roman" w:hint="eastAsia"/>
          <w:sz w:val="24"/>
          <w:szCs w:val="24"/>
        </w:rPr>
        <w:t>014209</w:t>
      </w:r>
      <w:r>
        <w:rPr>
          <w:rFonts w:ascii="Times New Roman" w:hAnsi="Times New Roman" w:hint="eastAsia"/>
          <w:sz w:val="24"/>
          <w:szCs w:val="24"/>
        </w:rPr>
        <w:t>）最低申购金额、最低赎回份额及最低持有份额的数量限制</w:t>
      </w:r>
      <w:r>
        <w:rPr>
          <w:rFonts w:ascii="Times New Roman" w:hAnsi="Times New Roman"/>
          <w:sz w:val="24"/>
          <w:szCs w:val="24"/>
        </w:rPr>
        <w:t>，现将相关事项公告如下：</w:t>
      </w:r>
    </w:p>
    <w:p w:rsidR="007C23AC" w:rsidRDefault="007C23AC">
      <w:pPr>
        <w:spacing w:line="360" w:lineRule="auto"/>
        <w:rPr>
          <w:rFonts w:ascii="Times New Roman" w:hAnsi="Times New Roman"/>
          <w:sz w:val="24"/>
          <w:szCs w:val="24"/>
        </w:rPr>
      </w:pPr>
    </w:p>
    <w:p w:rsidR="007C23AC" w:rsidRDefault="00B35EE0">
      <w:pPr>
        <w:spacing w:line="360" w:lineRule="auto"/>
        <w:rPr>
          <w:rFonts w:ascii="Times New Roman" w:hAnsi="Times New Roman"/>
          <w:sz w:val="24"/>
          <w:szCs w:val="24"/>
        </w:rPr>
      </w:pPr>
      <w:r>
        <w:rPr>
          <w:rFonts w:ascii="Times New Roman" w:hAnsi="Times New Roman" w:hint="eastAsia"/>
          <w:sz w:val="24"/>
          <w:szCs w:val="24"/>
        </w:rPr>
        <w:t>一、调整方案</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、申请申购基金的最低金额限制</w:t>
      </w:r>
    </w:p>
    <w:p w:rsidR="007C23AC" w:rsidRDefault="00B35EE0" w:rsidP="00700B5D">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投资者申购本基金份额时，通过销售机构每笔申购金额不得低于</w:t>
      </w:r>
      <w:r>
        <w:rPr>
          <w:rFonts w:ascii="Times New Roman" w:hAnsi="Times New Roman" w:hint="eastAsia"/>
          <w:sz w:val="24"/>
          <w:szCs w:val="24"/>
        </w:rPr>
        <w:t>1</w:t>
      </w:r>
      <w:r>
        <w:rPr>
          <w:rFonts w:ascii="Times New Roman" w:hAnsi="Times New Roman" w:hint="eastAsia"/>
          <w:sz w:val="24"/>
          <w:szCs w:val="24"/>
        </w:rPr>
        <w:t>元</w:t>
      </w:r>
      <w:r>
        <w:rPr>
          <w:rFonts w:ascii="Times New Roman" w:hAnsi="Times New Roman" w:hint="eastAsia"/>
          <w:sz w:val="24"/>
          <w:szCs w:val="24"/>
        </w:rPr>
        <w:t>(</w:t>
      </w:r>
      <w:r>
        <w:rPr>
          <w:rFonts w:ascii="Times New Roman" w:hAnsi="Times New Roman" w:hint="eastAsia"/>
          <w:sz w:val="24"/>
          <w:szCs w:val="24"/>
        </w:rPr>
        <w:t>含申购费</w:t>
      </w:r>
      <w:r>
        <w:rPr>
          <w:rFonts w:ascii="Times New Roman" w:hAnsi="Times New Roman" w:hint="eastAsia"/>
          <w:sz w:val="24"/>
          <w:szCs w:val="24"/>
        </w:rPr>
        <w:t>)</w:t>
      </w:r>
      <w:r>
        <w:rPr>
          <w:rFonts w:ascii="Times New Roman" w:hAnsi="Times New Roman" w:hint="eastAsia"/>
          <w:sz w:val="24"/>
          <w:szCs w:val="24"/>
        </w:rPr>
        <w:t>，通过民生加银基金直销机构每笔申购金额不得低于</w:t>
      </w:r>
      <w:r>
        <w:rPr>
          <w:rFonts w:ascii="Times New Roman" w:hAnsi="Times New Roman" w:hint="eastAsia"/>
          <w:sz w:val="24"/>
          <w:szCs w:val="24"/>
        </w:rPr>
        <w:t>1</w:t>
      </w:r>
      <w:r>
        <w:rPr>
          <w:rFonts w:ascii="Times New Roman" w:hAnsi="Times New Roman" w:hint="eastAsia"/>
          <w:sz w:val="24"/>
          <w:szCs w:val="24"/>
        </w:rPr>
        <w:t>元</w:t>
      </w:r>
      <w:r>
        <w:rPr>
          <w:rFonts w:ascii="Times New Roman" w:hAnsi="Times New Roman" w:hint="eastAsia"/>
          <w:sz w:val="24"/>
          <w:szCs w:val="24"/>
        </w:rPr>
        <w:t>(</w:t>
      </w:r>
      <w:r>
        <w:rPr>
          <w:rFonts w:ascii="Times New Roman" w:hAnsi="Times New Roman" w:hint="eastAsia"/>
          <w:sz w:val="24"/>
          <w:szCs w:val="24"/>
        </w:rPr>
        <w:t>含申购费</w:t>
      </w:r>
      <w:r>
        <w:rPr>
          <w:rFonts w:ascii="Times New Roman" w:hAnsi="Times New Roman" w:hint="eastAsia"/>
          <w:sz w:val="24"/>
          <w:szCs w:val="24"/>
        </w:rPr>
        <w:t>)</w:t>
      </w:r>
      <w:r>
        <w:rPr>
          <w:rFonts w:ascii="Times New Roman" w:hAnsi="Times New Roman" w:hint="eastAsia"/>
          <w:sz w:val="24"/>
          <w:szCs w:val="24"/>
        </w:rPr>
        <w:t>，超过最低申购金额的部分不设金额级差；定期定额投资计划、比例配售和红利再投资不受此最低申购金额规定限制；销售机构若有不同规定，以销售机构规定为准，但不得低于</w:t>
      </w:r>
      <w:r>
        <w:rPr>
          <w:rFonts w:ascii="Times New Roman" w:hAnsi="Times New Roman" w:hint="eastAsia"/>
          <w:sz w:val="24"/>
          <w:szCs w:val="24"/>
        </w:rPr>
        <w:t>1</w:t>
      </w:r>
      <w:r>
        <w:rPr>
          <w:rFonts w:ascii="Times New Roman" w:hAnsi="Times New Roman" w:hint="eastAsia"/>
          <w:sz w:val="24"/>
          <w:szCs w:val="24"/>
        </w:rPr>
        <w:t>元的最低限额规定。</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、申请赎回基金的份额</w:t>
      </w:r>
    </w:p>
    <w:p w:rsidR="007C23AC" w:rsidRDefault="00B35EE0" w:rsidP="00700B5D">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投资者赎回本基金份额时，可申请将其持有的部分或全部基金份额赎回。本基金的投资者每个交易账户每笔最低赎回份额为</w:t>
      </w:r>
      <w:r>
        <w:rPr>
          <w:rFonts w:ascii="Times New Roman" w:hAnsi="Times New Roman" w:hint="eastAsia"/>
          <w:sz w:val="24"/>
          <w:szCs w:val="24"/>
        </w:rPr>
        <w:t>1</w:t>
      </w:r>
      <w:r>
        <w:rPr>
          <w:rFonts w:ascii="Times New Roman" w:hAnsi="Times New Roman" w:hint="eastAsia"/>
          <w:sz w:val="24"/>
          <w:szCs w:val="24"/>
        </w:rPr>
        <w:t>份，销售机构若有不同规定，以销售机构规定为准，但不得低于</w:t>
      </w:r>
      <w:r>
        <w:rPr>
          <w:rFonts w:ascii="Times New Roman" w:hAnsi="Times New Roman" w:hint="eastAsia"/>
          <w:sz w:val="24"/>
          <w:szCs w:val="24"/>
        </w:rPr>
        <w:t>1</w:t>
      </w:r>
      <w:r>
        <w:rPr>
          <w:rFonts w:ascii="Times New Roman" w:hAnsi="Times New Roman" w:hint="eastAsia"/>
          <w:sz w:val="24"/>
          <w:szCs w:val="24"/>
        </w:rPr>
        <w:t>份的最低限额规定。</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、在销售机构保留的基金份额数量限制</w:t>
      </w:r>
    </w:p>
    <w:p w:rsidR="007C23AC" w:rsidRDefault="00B35EE0" w:rsidP="00700B5D">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本基金的投资者每个交易账户的最低基金份额余额为</w:t>
      </w:r>
      <w:r>
        <w:rPr>
          <w:rFonts w:ascii="Times New Roman" w:hAnsi="Times New Roman" w:hint="eastAsia"/>
          <w:sz w:val="24"/>
          <w:szCs w:val="24"/>
        </w:rPr>
        <w:t>1</w:t>
      </w:r>
      <w:r>
        <w:rPr>
          <w:rFonts w:ascii="Times New Roman" w:hAnsi="Times New Roman" w:hint="eastAsia"/>
          <w:sz w:val="24"/>
          <w:szCs w:val="24"/>
        </w:rPr>
        <w:t>份，本基金不对单个投资者累计持有的基金份额上限进行限制，但单一投资者持有基金份额数不得达到或超过基金份额总数的</w:t>
      </w:r>
      <w:r>
        <w:rPr>
          <w:rFonts w:ascii="Times New Roman" w:hAnsi="Times New Roman" w:hint="eastAsia"/>
          <w:sz w:val="24"/>
          <w:szCs w:val="24"/>
        </w:rPr>
        <w:t>50%(</w:t>
      </w:r>
      <w:r>
        <w:rPr>
          <w:rFonts w:ascii="Times New Roman" w:hAnsi="Times New Roman" w:hint="eastAsia"/>
          <w:sz w:val="24"/>
          <w:szCs w:val="24"/>
        </w:rPr>
        <w:t>在基金运作过程中因基金份额赎回等情形导致被动达到或超过</w:t>
      </w:r>
      <w:r>
        <w:rPr>
          <w:rFonts w:ascii="Times New Roman" w:hAnsi="Times New Roman" w:hint="eastAsia"/>
          <w:sz w:val="24"/>
          <w:szCs w:val="24"/>
        </w:rPr>
        <w:t>50%</w:t>
      </w:r>
      <w:r>
        <w:rPr>
          <w:rFonts w:ascii="Times New Roman" w:hAnsi="Times New Roman" w:hint="eastAsia"/>
          <w:sz w:val="24"/>
          <w:szCs w:val="24"/>
        </w:rPr>
        <w:t>的除外</w:t>
      </w:r>
      <w:r>
        <w:rPr>
          <w:rFonts w:ascii="Times New Roman" w:hAnsi="Times New Roman" w:hint="eastAsia"/>
          <w:sz w:val="24"/>
          <w:szCs w:val="24"/>
        </w:rPr>
        <w:t>)</w:t>
      </w:r>
      <w:r>
        <w:rPr>
          <w:rFonts w:ascii="Times New Roman" w:hAnsi="Times New Roman" w:hint="eastAsia"/>
          <w:sz w:val="24"/>
          <w:szCs w:val="24"/>
        </w:rPr>
        <w:t>；销售机构若有不同规定，以销售机构规定为准，但不得低于</w:t>
      </w:r>
      <w:r>
        <w:rPr>
          <w:rFonts w:ascii="Times New Roman" w:hAnsi="Times New Roman" w:hint="eastAsia"/>
          <w:sz w:val="24"/>
          <w:szCs w:val="24"/>
        </w:rPr>
        <w:t>1</w:t>
      </w:r>
      <w:r>
        <w:rPr>
          <w:rFonts w:ascii="Times New Roman" w:hAnsi="Times New Roman" w:hint="eastAsia"/>
          <w:sz w:val="24"/>
          <w:szCs w:val="24"/>
        </w:rPr>
        <w:t>份的最低限额规定。</w:t>
      </w:r>
      <w:r>
        <w:rPr>
          <w:rFonts w:ascii="Times New Roman" w:hAnsi="Times New Roman"/>
          <w:sz w:val="24"/>
          <w:szCs w:val="24"/>
        </w:rPr>
        <w:cr/>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二、</w:t>
      </w:r>
      <w:r>
        <w:rPr>
          <w:rFonts w:ascii="Times New Roman" w:hAnsi="Times New Roman"/>
          <w:sz w:val="24"/>
          <w:szCs w:val="24"/>
        </w:rPr>
        <w:t>其他需要注意的事项</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、本公司各基金销售机构有不同规定的，投资者在该销售机构办理上述业务时，需同时遵循销售机构的相关业务规定。</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lastRenderedPageBreak/>
        <w:t>2</w:t>
      </w:r>
      <w:r>
        <w:rPr>
          <w:rFonts w:ascii="Times New Roman" w:hAnsi="Times New Roman" w:hint="eastAsia"/>
          <w:sz w:val="24"/>
          <w:szCs w:val="24"/>
        </w:rPr>
        <w:t>、本次调整方案所涉及的招募说明书相关内容，将在招募说明书更新时进行相应调整。</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、本公告涉及上述业务的最终解释权归本公司。</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、投资者可通过以下途径了解或咨询详情：</w:t>
      </w:r>
    </w:p>
    <w:p w:rsidR="007C23AC" w:rsidRDefault="00B35EE0" w:rsidP="00700B5D">
      <w:pPr>
        <w:spacing w:line="360" w:lineRule="auto"/>
        <w:ind w:firstLineChars="215" w:firstLine="516"/>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）本公司网站</w:t>
      </w:r>
      <w:r>
        <w:rPr>
          <w:rFonts w:ascii="Times New Roman" w:hAnsi="Times New Roman" w:hint="eastAsia"/>
          <w:sz w:val="24"/>
          <w:szCs w:val="24"/>
        </w:rPr>
        <w:t xml:space="preserve">: www.msjyfund.com.cn </w:t>
      </w:r>
    </w:p>
    <w:p w:rsidR="007C23AC" w:rsidRDefault="00B35EE0" w:rsidP="00700B5D">
      <w:pPr>
        <w:spacing w:line="360" w:lineRule="auto"/>
        <w:ind w:firstLineChars="215" w:firstLine="516"/>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）客户服务电话</w:t>
      </w:r>
      <w:r>
        <w:rPr>
          <w:rFonts w:ascii="Times New Roman" w:hAnsi="Times New Roman" w:hint="eastAsia"/>
          <w:sz w:val="24"/>
          <w:szCs w:val="24"/>
        </w:rPr>
        <w:t>:400-8888-388</w:t>
      </w:r>
      <w:r>
        <w:rPr>
          <w:rFonts w:ascii="Times New Roman" w:hAnsi="Times New Roman" w:hint="eastAsia"/>
          <w:sz w:val="24"/>
          <w:szCs w:val="24"/>
        </w:rPr>
        <w:t>（免长话费）</w:t>
      </w:r>
    </w:p>
    <w:p w:rsidR="007C23AC" w:rsidRDefault="00B35EE0" w:rsidP="00700B5D">
      <w:pPr>
        <w:spacing w:line="360" w:lineRule="auto"/>
        <w:ind w:firstLineChars="215" w:firstLine="516"/>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）客户服务邮箱</w:t>
      </w:r>
      <w:r>
        <w:rPr>
          <w:rFonts w:ascii="Times New Roman" w:hAnsi="Times New Roman" w:hint="eastAsia"/>
          <w:sz w:val="24"/>
          <w:szCs w:val="24"/>
        </w:rPr>
        <w:t>:services@msjyfund.com.cn</w:t>
      </w:r>
    </w:p>
    <w:p w:rsidR="007C23AC" w:rsidRDefault="00B35EE0">
      <w:pPr>
        <w:spacing w:line="360" w:lineRule="auto"/>
        <w:rPr>
          <w:rFonts w:ascii="Times New Roman" w:hAnsi="Times New Roman"/>
          <w:b/>
          <w:sz w:val="24"/>
          <w:szCs w:val="24"/>
        </w:rPr>
      </w:pPr>
      <w:r>
        <w:rPr>
          <w:rFonts w:ascii="Times New Roman" w:hAnsi="Times New Roman"/>
          <w:b/>
          <w:sz w:val="24"/>
          <w:szCs w:val="24"/>
        </w:rPr>
        <w:t>5</w:t>
      </w:r>
      <w:r>
        <w:rPr>
          <w:rFonts w:ascii="Times New Roman" w:hAnsi="Times New Roman" w:hint="eastAsia"/>
          <w:b/>
          <w:sz w:val="24"/>
          <w:szCs w:val="24"/>
        </w:rPr>
        <w:t>、风险提示：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7C23AC" w:rsidRDefault="00B35EE0" w:rsidP="00700B5D">
      <w:pPr>
        <w:spacing w:line="360" w:lineRule="auto"/>
        <w:ind w:firstLine="284"/>
        <w:rPr>
          <w:rFonts w:ascii="Times New Roman" w:hAnsi="Times New Roman"/>
          <w:sz w:val="24"/>
          <w:szCs w:val="24"/>
        </w:rPr>
      </w:pPr>
      <w:r>
        <w:rPr>
          <w:rFonts w:ascii="Times New Roman" w:hAnsi="Times New Roman" w:hint="eastAsia"/>
          <w:sz w:val="24"/>
          <w:szCs w:val="24"/>
        </w:rPr>
        <w:t xml:space="preserve">　特此公告。</w:t>
      </w:r>
    </w:p>
    <w:p w:rsidR="007C23AC" w:rsidRDefault="00B35EE0">
      <w:pPr>
        <w:spacing w:line="360" w:lineRule="auto"/>
        <w:rPr>
          <w:rFonts w:ascii="Times New Roman" w:hAnsi="Times New Roman"/>
          <w:sz w:val="24"/>
          <w:szCs w:val="24"/>
        </w:rPr>
      </w:pPr>
      <w:r>
        <w:rPr>
          <w:rFonts w:ascii="Times New Roman" w:hAnsi="Times New Roman" w:hint="eastAsia"/>
          <w:sz w:val="24"/>
          <w:szCs w:val="24"/>
        </w:rPr>
        <w:t xml:space="preserve">　　</w:t>
      </w:r>
    </w:p>
    <w:p w:rsidR="007C23AC" w:rsidRDefault="00B35EE0" w:rsidP="00700B5D">
      <w:pPr>
        <w:spacing w:line="360" w:lineRule="auto"/>
        <w:jc w:val="right"/>
        <w:rPr>
          <w:rFonts w:ascii="Times New Roman" w:hAnsi="Times New Roman"/>
          <w:sz w:val="24"/>
          <w:szCs w:val="24"/>
        </w:rPr>
      </w:pPr>
      <w:r>
        <w:rPr>
          <w:rFonts w:ascii="Times New Roman" w:hAnsi="Times New Roman" w:hint="eastAsia"/>
          <w:sz w:val="24"/>
          <w:szCs w:val="24"/>
        </w:rPr>
        <w:t>民生加银基金管理有限公司</w:t>
      </w:r>
    </w:p>
    <w:p w:rsidR="007C23AC" w:rsidRDefault="00B35EE0" w:rsidP="00700B5D">
      <w:pPr>
        <w:spacing w:line="360" w:lineRule="auto"/>
        <w:jc w:val="right"/>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 xml:space="preserve">　</w:t>
      </w:r>
      <w:r>
        <w:rPr>
          <w:rFonts w:ascii="Times New Roman" w:hAnsi="Times New Roman" w:hint="eastAsia"/>
          <w:sz w:val="24"/>
          <w:szCs w:val="24"/>
        </w:rPr>
        <w:t>2023</w:t>
      </w:r>
      <w:r>
        <w:rPr>
          <w:rFonts w:ascii="Times New Roman" w:hAnsi="Times New Roman" w:hint="eastAsia"/>
          <w:sz w:val="24"/>
          <w:szCs w:val="24"/>
        </w:rPr>
        <w:t>年</w:t>
      </w:r>
      <w:r>
        <w:rPr>
          <w:rFonts w:ascii="Times New Roman" w:hAnsi="Times New Roman" w:hint="eastAsia"/>
          <w:sz w:val="24"/>
          <w:szCs w:val="24"/>
        </w:rPr>
        <w:t>10</w:t>
      </w:r>
      <w:r>
        <w:rPr>
          <w:rFonts w:ascii="Times New Roman" w:hAnsi="Times New Roman" w:hint="eastAsia"/>
          <w:sz w:val="24"/>
          <w:szCs w:val="24"/>
        </w:rPr>
        <w:t>月</w:t>
      </w:r>
      <w:r>
        <w:rPr>
          <w:rFonts w:ascii="Times New Roman" w:hAnsi="Times New Roman" w:hint="eastAsia"/>
          <w:sz w:val="24"/>
          <w:szCs w:val="24"/>
        </w:rPr>
        <w:t>27</w:t>
      </w:r>
      <w:r>
        <w:rPr>
          <w:rFonts w:ascii="Times New Roman" w:hAnsi="Times New Roman" w:hint="eastAsia"/>
          <w:sz w:val="24"/>
          <w:szCs w:val="24"/>
        </w:rPr>
        <w:t>日</w:t>
      </w:r>
    </w:p>
    <w:p w:rsidR="007C23AC" w:rsidRDefault="007C23AC">
      <w:pPr>
        <w:spacing w:line="360" w:lineRule="auto"/>
        <w:jc w:val="right"/>
        <w:rPr>
          <w:rFonts w:ascii="Times New Roman" w:hAnsi="Times New Roman"/>
          <w:sz w:val="24"/>
          <w:szCs w:val="24"/>
        </w:rPr>
      </w:pPr>
    </w:p>
    <w:sectPr w:rsidR="007C23AC" w:rsidSect="00E451B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7C23AC"/>
    <w:rsid w:val="003E21E9"/>
    <w:rsid w:val="00503F36"/>
    <w:rsid w:val="00700B5D"/>
    <w:rsid w:val="007C23AC"/>
    <w:rsid w:val="00B35EE0"/>
    <w:rsid w:val="00CD3B4A"/>
    <w:rsid w:val="00E45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51B9"/>
    <w:pPr>
      <w:widowControl w:val="0"/>
      <w:jc w:val="both"/>
    </w:pPr>
    <w:rPr>
      <w:rFonts w:ascii="Calibri" w:hAnsi="Calibri" w:cs="Arial"/>
      <w:kern w:val="2"/>
      <w:sz w:val="21"/>
      <w:szCs w:val="22"/>
    </w:rPr>
  </w:style>
  <w:style w:type="paragraph" w:styleId="1">
    <w:name w:val="heading 1"/>
    <w:basedOn w:val="a"/>
    <w:next w:val="a"/>
    <w:rsid w:val="00E451B9"/>
    <w:pPr>
      <w:keepNext/>
      <w:keepLines/>
      <w:spacing w:before="340" w:after="330" w:line="578" w:lineRule="auto"/>
      <w:outlineLvl w:val="0"/>
    </w:pPr>
    <w:rPr>
      <w:b/>
      <w:bCs/>
      <w:kern w:val="44"/>
      <w:sz w:val="44"/>
    </w:rPr>
  </w:style>
  <w:style w:type="paragraph" w:styleId="2">
    <w:name w:val="heading 2"/>
    <w:basedOn w:val="a"/>
    <w:next w:val="a"/>
    <w:rsid w:val="00E451B9"/>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E451B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51B9"/>
    <w:pPr>
      <w:widowControl/>
      <w:spacing w:before="100" w:beforeAutospacing="1" w:after="100" w:afterAutospacing="1"/>
      <w:jc w:val="left"/>
    </w:pPr>
    <w:rPr>
      <w:rFonts w:ascii="宋体" w:cs="宋体"/>
      <w:kern w:val="0"/>
      <w:sz w:val="24"/>
      <w:szCs w:val="24"/>
    </w:rPr>
  </w:style>
  <w:style w:type="paragraph" w:styleId="a4">
    <w:name w:val="List Paragraph"/>
    <w:basedOn w:val="a"/>
    <w:rsid w:val="00E451B9"/>
    <w:pPr>
      <w:ind w:firstLineChars="200" w:firstLine="200"/>
    </w:pPr>
  </w:style>
  <w:style w:type="character" w:styleId="a5">
    <w:name w:val="Hyperlink"/>
    <w:basedOn w:val="a0"/>
    <w:rsid w:val="00E451B9"/>
    <w:rPr>
      <w:strike w:val="0"/>
      <w:dstrike w:val="0"/>
      <w:color w:val="000000"/>
      <w:u w:val="none"/>
    </w:rPr>
  </w:style>
  <w:style w:type="paragraph" w:styleId="a6">
    <w:name w:val="header"/>
    <w:basedOn w:val="a"/>
    <w:rsid w:val="00E451B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451B9"/>
    <w:pPr>
      <w:tabs>
        <w:tab w:val="center" w:pos="4153"/>
        <w:tab w:val="right" w:pos="8306"/>
      </w:tabs>
      <w:snapToGrid w:val="0"/>
      <w:jc w:val="left"/>
    </w:pPr>
    <w:rPr>
      <w:sz w:val="18"/>
      <w:szCs w:val="18"/>
    </w:rPr>
  </w:style>
  <w:style w:type="paragraph" w:styleId="a8">
    <w:name w:val="Balloon Text"/>
    <w:basedOn w:val="a"/>
    <w:rsid w:val="00E451B9"/>
    <w:rPr>
      <w:sz w:val="18"/>
      <w:szCs w:val="18"/>
    </w:rPr>
  </w:style>
  <w:style w:type="character" w:styleId="a9">
    <w:name w:val="annotation reference"/>
    <w:basedOn w:val="a0"/>
    <w:rsid w:val="00E451B9"/>
    <w:rPr>
      <w:sz w:val="21"/>
      <w:szCs w:val="21"/>
    </w:rPr>
  </w:style>
  <w:style w:type="paragraph" w:styleId="aa">
    <w:name w:val="annotation text"/>
    <w:basedOn w:val="a"/>
    <w:rsid w:val="00E451B9"/>
    <w:pPr>
      <w:jc w:val="left"/>
    </w:pPr>
  </w:style>
  <w:style w:type="paragraph" w:styleId="ab">
    <w:name w:val="annotation subject"/>
    <w:basedOn w:val="aa"/>
    <w:next w:val="aa"/>
    <w:rsid w:val="00E451B9"/>
    <w:rPr>
      <w:b/>
      <w:bCs/>
    </w:rPr>
  </w:style>
  <w:style w:type="paragraph" w:customStyle="1" w:styleId="10">
    <w:name w:val="修订1"/>
    <w:rsid w:val="00E451B9"/>
    <w:rPr>
      <w:rFonts w:ascii="Calibri" w:hAnsi="Calibri" w:cs="Arial"/>
      <w:kern w:val="2"/>
      <w:sz w:val="21"/>
      <w:szCs w:val="22"/>
    </w:rPr>
  </w:style>
  <w:style w:type="paragraph" w:styleId="11">
    <w:name w:val="toc 1"/>
    <w:basedOn w:val="a"/>
    <w:next w:val="a"/>
    <w:autoRedefine/>
    <w:rsid w:val="00E451B9"/>
  </w:style>
  <w:style w:type="paragraph" w:styleId="20">
    <w:name w:val="toc 2"/>
    <w:basedOn w:val="a"/>
    <w:next w:val="a"/>
    <w:autoRedefine/>
    <w:rsid w:val="00E451B9"/>
    <w:pPr>
      <w:ind w:left="420"/>
    </w:pPr>
  </w:style>
  <w:style w:type="paragraph" w:styleId="30">
    <w:name w:val="toc 3"/>
    <w:basedOn w:val="a"/>
    <w:next w:val="a"/>
    <w:autoRedefine/>
    <w:rsid w:val="00E451B9"/>
    <w:pPr>
      <w:ind w:left="840"/>
    </w:pPr>
  </w:style>
  <w:style w:type="paragraph" w:styleId="4">
    <w:name w:val="toc 4"/>
    <w:basedOn w:val="a"/>
    <w:next w:val="a"/>
    <w:autoRedefine/>
    <w:rsid w:val="00E451B9"/>
    <w:pPr>
      <w:ind w:left="1260"/>
    </w:pPr>
  </w:style>
  <w:style w:type="paragraph" w:styleId="5">
    <w:name w:val="toc 5"/>
    <w:basedOn w:val="a"/>
    <w:next w:val="a"/>
    <w:autoRedefine/>
    <w:rsid w:val="00E451B9"/>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4</DocSecurity>
  <Lines>8</Lines>
  <Paragraphs>2</Paragraphs>
  <ScaleCrop>false</ScaleCrop>
  <Company>Lenovo</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黄健</dc:creator>
  <cp:lastModifiedBy>ZHONGM</cp:lastModifiedBy>
  <cp:revision>2</cp:revision>
  <dcterms:created xsi:type="dcterms:W3CDTF">2023-10-26T16:02:00Z</dcterms:created>
  <dcterms:modified xsi:type="dcterms:W3CDTF">2023-10-26T16:02:00Z</dcterms:modified>
</cp:coreProperties>
</file>