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F913B2" w:rsidP="00AC3CC5">
      <w:pPr>
        <w:widowControl/>
        <w:spacing w:line="360" w:lineRule="auto"/>
        <w:jc w:val="center"/>
        <w:rPr>
          <w:rFonts w:asciiTheme="minorEastAsia" w:eastAsiaTheme="minorEastAsia" w:hAnsiTheme="minorEastAsia" w:cs="宋体"/>
          <w:b/>
          <w:kern w:val="0"/>
          <w:sz w:val="30"/>
          <w:szCs w:val="30"/>
        </w:rPr>
      </w:pPr>
      <w:r w:rsidRPr="005C57A1">
        <w:rPr>
          <w:rFonts w:asciiTheme="minorEastAsia" w:eastAsiaTheme="minorEastAsia" w:hAnsiTheme="minorEastAsia" w:cs="宋体" w:hint="eastAsia"/>
          <w:b/>
          <w:kern w:val="0"/>
          <w:sz w:val="30"/>
          <w:szCs w:val="30"/>
        </w:rPr>
        <w:t>华安安腾一年定期开放债券型发起式证券投资基金分红公告</w:t>
      </w:r>
    </w:p>
    <w:p w:rsidR="00893436" w:rsidRPr="002825C8" w:rsidRDefault="00F913B2"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2023年10月26日</w:t>
      </w:r>
    </w:p>
    <w:p w:rsidR="00893436" w:rsidRPr="002825C8" w:rsidRDefault="00D35E44" w:rsidP="00AC3CC5">
      <w:pPr>
        <w:spacing w:line="360" w:lineRule="auto"/>
        <w:jc w:val="center"/>
        <w:rPr>
          <w:rFonts w:asciiTheme="minorEastAsia" w:eastAsiaTheme="minorEastAsia" w:hAnsiTheme="minorEastAsia"/>
          <w:color w:val="000000"/>
          <w:sz w:val="24"/>
          <w:szCs w:val="24"/>
        </w:rPr>
      </w:pPr>
    </w:p>
    <w:p w:rsidR="00893436" w:rsidRPr="002825C8" w:rsidRDefault="00F913B2" w:rsidP="00AC3CC5">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3"/>
        <w:gridCol w:w="1565"/>
        <w:gridCol w:w="4861"/>
      </w:tblGrid>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华安安腾一年定期开放债券型发起式证券投资基金</w:t>
            </w:r>
          </w:p>
        </w:tc>
      </w:tr>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华安安腾一年定开债</w:t>
            </w:r>
          </w:p>
        </w:tc>
      </w:tr>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008904</w:t>
            </w:r>
          </w:p>
        </w:tc>
      </w:tr>
      <w:tr w:rsidR="00345DF4" w:rsidTr="001E1256">
        <w:trPr>
          <w:jc w:val="center"/>
        </w:trPr>
        <w:tc>
          <w:tcPr>
            <w:tcW w:w="4778" w:type="dxa"/>
            <w:gridSpan w:val="2"/>
            <w:vAlign w:val="center"/>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2020年4月22日</w:t>
            </w:r>
          </w:p>
        </w:tc>
      </w:tr>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华安基金管理有限公司</w:t>
            </w:r>
          </w:p>
        </w:tc>
      </w:tr>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招商银行股份有限公司</w:t>
            </w:r>
          </w:p>
        </w:tc>
      </w:tr>
      <w:tr w:rsidR="00345DF4" w:rsidTr="001E1256">
        <w:trPr>
          <w:jc w:val="center"/>
        </w:trPr>
        <w:tc>
          <w:tcPr>
            <w:tcW w:w="4778" w:type="dxa"/>
            <w:gridSpan w:val="2"/>
          </w:tcPr>
          <w:p w:rsidR="0039192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根据法律法规和《华安安腾一年定期开放债券型发起式证券投资基金基金合同》的有关规定。</w:t>
            </w:r>
          </w:p>
        </w:tc>
      </w:tr>
      <w:tr w:rsidR="00345DF4" w:rsidTr="001E1256">
        <w:trPr>
          <w:jc w:val="center"/>
        </w:trPr>
        <w:tc>
          <w:tcPr>
            <w:tcW w:w="4778" w:type="dxa"/>
            <w:gridSpan w:val="2"/>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2023年10月20日</w:t>
            </w:r>
          </w:p>
        </w:tc>
      </w:tr>
      <w:tr w:rsidR="00345DF4" w:rsidTr="001E1256">
        <w:trPr>
          <w:jc w:val="center"/>
        </w:trPr>
        <w:tc>
          <w:tcPr>
            <w:tcW w:w="3213" w:type="dxa"/>
            <w:vMerge w:val="restart"/>
            <w:vAlign w:val="center"/>
          </w:tcPr>
          <w:p w:rsidR="00893436" w:rsidRPr="002825C8" w:rsidRDefault="00F913B2"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截止收益分配基准日的相关指标</w:t>
            </w:r>
          </w:p>
        </w:tc>
        <w:tc>
          <w:tcPr>
            <w:tcW w:w="156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基准日基金份额净值</w:t>
            </w:r>
            <w:r w:rsidRPr="002825C8">
              <w:rPr>
                <w:rFonts w:asciiTheme="minorEastAsia" w:eastAsiaTheme="minorEastAsia" w:hAnsiTheme="minorEastAsia" w:hint="eastAsia"/>
                <w:sz w:val="24"/>
                <w:szCs w:val="24"/>
              </w:rPr>
              <w:t>（单位：</w:t>
            </w:r>
            <w:r w:rsidRPr="002825C8">
              <w:rPr>
                <w:rFonts w:asciiTheme="minorEastAsia" w:eastAsiaTheme="minorEastAsia" w:hAnsiTheme="minorEastAsia" w:hint="eastAsia"/>
                <w:color w:val="000000"/>
                <w:kern w:val="0"/>
                <w:sz w:val="24"/>
                <w:szCs w:val="24"/>
              </w:rPr>
              <w:t>元</w:t>
            </w:r>
            <w:r w:rsidRPr="002825C8">
              <w:rPr>
                <w:rFonts w:asciiTheme="minorEastAsia" w:eastAsiaTheme="minorEastAsia" w:hAnsiTheme="minorEastAsia" w:hint="eastAsia"/>
                <w:sz w:val="24"/>
                <w:szCs w:val="24"/>
              </w:rPr>
              <w:t>）</w:t>
            </w:r>
          </w:p>
        </w:tc>
        <w:tc>
          <w:tcPr>
            <w:tcW w:w="4861"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1.0210</w:t>
            </w:r>
          </w:p>
        </w:tc>
      </w:tr>
      <w:tr w:rsidR="00345DF4" w:rsidTr="001E1256">
        <w:trPr>
          <w:jc w:val="center"/>
        </w:trPr>
        <w:tc>
          <w:tcPr>
            <w:tcW w:w="3213" w:type="dxa"/>
            <w:vMerge/>
          </w:tcPr>
          <w:p w:rsidR="00893436" w:rsidRPr="002825C8" w:rsidRDefault="00D35E44" w:rsidP="00AC3CC5">
            <w:pPr>
              <w:spacing w:line="360" w:lineRule="auto"/>
              <w:rPr>
                <w:rFonts w:asciiTheme="minorEastAsia" w:eastAsiaTheme="minorEastAsia" w:hAnsiTheme="minorEastAsia"/>
                <w:color w:val="000000"/>
                <w:sz w:val="24"/>
                <w:szCs w:val="24"/>
              </w:rPr>
            </w:pPr>
          </w:p>
        </w:tc>
        <w:tc>
          <w:tcPr>
            <w:tcW w:w="156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基准日基金可供分配利润</w:t>
            </w:r>
            <w:r w:rsidRPr="002825C8">
              <w:rPr>
                <w:rFonts w:asciiTheme="minorEastAsia" w:eastAsiaTheme="minorEastAsia" w:hAnsiTheme="minorEastAsia" w:hint="eastAsia"/>
                <w:sz w:val="24"/>
                <w:szCs w:val="24"/>
              </w:rPr>
              <w:t>（单位：</w:t>
            </w:r>
            <w:r w:rsidRPr="002825C8">
              <w:rPr>
                <w:rFonts w:asciiTheme="minorEastAsia" w:eastAsiaTheme="minorEastAsia" w:hAnsiTheme="minorEastAsia" w:hint="eastAsia"/>
                <w:color w:val="000000"/>
                <w:kern w:val="0"/>
                <w:sz w:val="24"/>
                <w:szCs w:val="24"/>
              </w:rPr>
              <w:t>元</w:t>
            </w:r>
            <w:r w:rsidRPr="002825C8">
              <w:rPr>
                <w:rFonts w:asciiTheme="minorEastAsia" w:eastAsiaTheme="minorEastAsia" w:hAnsiTheme="minorEastAsia" w:hint="eastAsia"/>
                <w:sz w:val="24"/>
                <w:szCs w:val="24"/>
              </w:rPr>
              <w:t>）</w:t>
            </w:r>
          </w:p>
        </w:tc>
        <w:tc>
          <w:tcPr>
            <w:tcW w:w="4861"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51,823,922.76</w:t>
            </w:r>
          </w:p>
        </w:tc>
      </w:tr>
      <w:tr w:rsidR="00345DF4" w:rsidTr="001E1256">
        <w:trPr>
          <w:jc w:val="center"/>
        </w:trPr>
        <w:tc>
          <w:tcPr>
            <w:tcW w:w="4778" w:type="dxa"/>
            <w:gridSpan w:val="2"/>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本次分红方案（单位：元/10份基金份额）</w:t>
            </w:r>
          </w:p>
        </w:tc>
        <w:tc>
          <w:tcPr>
            <w:tcW w:w="4861"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0.0820</w:t>
            </w:r>
          </w:p>
        </w:tc>
      </w:tr>
      <w:tr w:rsidR="00345DF4" w:rsidTr="001E1256">
        <w:trPr>
          <w:jc w:val="center"/>
        </w:trPr>
        <w:tc>
          <w:tcPr>
            <w:tcW w:w="4778" w:type="dxa"/>
            <w:gridSpan w:val="2"/>
            <w:vAlign w:val="center"/>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 2023 年度的第二次分红</w:t>
            </w:r>
          </w:p>
        </w:tc>
      </w:tr>
    </w:tbl>
    <w:p w:rsidR="00893436" w:rsidRPr="002825C8" w:rsidRDefault="00F913B2" w:rsidP="00AC3CC5">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345DF4" w:rsidTr="007C142C">
        <w:trPr>
          <w:jc w:val="center"/>
        </w:trPr>
        <w:tc>
          <w:tcPr>
            <w:tcW w:w="435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2023年10月30日</w:t>
            </w:r>
          </w:p>
        </w:tc>
      </w:tr>
      <w:tr w:rsidR="00345DF4" w:rsidTr="007C142C">
        <w:trPr>
          <w:jc w:val="center"/>
        </w:trPr>
        <w:tc>
          <w:tcPr>
            <w:tcW w:w="4355" w:type="dxa"/>
          </w:tcPr>
          <w:p w:rsidR="0009778C"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8710" w:type="dxa"/>
          </w:tcPr>
          <w:p w:rsidR="0009778C" w:rsidRPr="002825C8" w:rsidRDefault="00F913B2" w:rsidP="002052A4">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2023年10月30日</w:t>
            </w:r>
          </w:p>
        </w:tc>
      </w:tr>
      <w:tr w:rsidR="00345DF4" w:rsidTr="007C142C">
        <w:trPr>
          <w:jc w:val="center"/>
        </w:trPr>
        <w:tc>
          <w:tcPr>
            <w:tcW w:w="435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现金红利发放日</w:t>
            </w:r>
          </w:p>
        </w:tc>
        <w:tc>
          <w:tcPr>
            <w:tcW w:w="4355" w:type="dxa"/>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2023年10月31日</w:t>
            </w:r>
          </w:p>
        </w:tc>
      </w:tr>
      <w:tr w:rsidR="00345DF4" w:rsidTr="007C142C">
        <w:trPr>
          <w:jc w:val="center"/>
        </w:trPr>
        <w:tc>
          <w:tcPr>
            <w:tcW w:w="435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355" w:type="dxa"/>
            <w:shd w:val="clear" w:color="auto" w:fill="auto"/>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权益登记日在华安基金管理有限公司登记在册的本基金全体持有人</w:t>
            </w:r>
          </w:p>
        </w:tc>
      </w:tr>
      <w:tr w:rsidR="00345DF4" w:rsidTr="007C142C">
        <w:trPr>
          <w:jc w:val="center"/>
        </w:trPr>
        <w:tc>
          <w:tcPr>
            <w:tcW w:w="4355" w:type="dxa"/>
            <w:shd w:val="clear" w:color="auto" w:fill="auto"/>
            <w:vAlign w:val="center"/>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shd w:val="clear" w:color="auto" w:fill="auto"/>
          </w:tcPr>
          <w:p w:rsidR="00345DF4" w:rsidRDefault="00F913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1）红利再投资日：2023年10月30日；</w:t>
            </w:r>
          </w:p>
          <w:p w:rsidR="00345DF4" w:rsidRDefault="00F913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2）选择现金红利再投资方式的投资者红利再投资份额将于2023年10月31日直接计入其基金账户，11月1日起可查询；</w:t>
            </w:r>
          </w:p>
          <w:p w:rsidR="00345DF4" w:rsidRDefault="00F913B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3）红利再投资按2023年10月30日的基金份额净值再投资基金份额，不足0.01份基金份额的，四舍五入；</w:t>
            </w:r>
          </w:p>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4）权益登记日之前（截至2023年10月30日）被冻结或托管转出尚未转入的基金份额应分得的现金红利按现金红利再投资方式处理。</w:t>
            </w:r>
          </w:p>
        </w:tc>
      </w:tr>
      <w:tr w:rsidR="00345DF4" w:rsidTr="007C142C">
        <w:trPr>
          <w:jc w:val="center"/>
        </w:trPr>
        <w:tc>
          <w:tcPr>
            <w:tcW w:w="435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345DF4" w:rsidTr="007C142C">
        <w:trPr>
          <w:jc w:val="center"/>
        </w:trPr>
        <w:tc>
          <w:tcPr>
            <w:tcW w:w="4355" w:type="dxa"/>
          </w:tcPr>
          <w:p w:rsidR="00893436" w:rsidRPr="002825C8" w:rsidRDefault="00F913B2"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2825C8" w:rsidRDefault="00F913B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本基金本次分红免收分红手续费和再投资手续费。</w:t>
            </w:r>
          </w:p>
        </w:tc>
      </w:tr>
    </w:tbl>
    <w:p w:rsidR="00893436" w:rsidRPr="002825C8" w:rsidRDefault="00F913B2" w:rsidP="00AC3CC5">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 其他需要提示的事项</w:t>
      </w:r>
      <w:bookmarkEnd w:id="2"/>
    </w:p>
    <w:p w:rsidR="00345DF4" w:rsidRDefault="00F913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1）基金份额持有人可以选择现金红利或将所获红利再投资于本基金，如果基金份额持有人未选择本基金具体分红方式，则默认为现金方式。</w:t>
      </w:r>
    </w:p>
    <w:p w:rsidR="00345DF4" w:rsidRDefault="00F913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2）投资者可以在每个基金开放日的交易时间内到销售网点查询和修改分红方式，也可以通过华安基金管理公司网站或电话交易系统查询和变更基金收益分配方式。如投资者在不同销售机构选择的分红方式不同，将按照投资者在权益登记日之前最后一次选择的分红方式为准。 </w:t>
      </w:r>
    </w:p>
    <w:p w:rsidR="00345DF4" w:rsidRDefault="00F913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凡希望修改分红方式的，请务必在2023年10月27日之前（含该日）办理变更手续。 </w:t>
      </w:r>
    </w:p>
    <w:p w:rsidR="00345DF4" w:rsidRDefault="00F913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3）如有其它疑问,请拨打本公司客户服务电话(40088-50099)或登陆本公司网站(www.huaan.com.cn)获取相关信息。 </w:t>
      </w:r>
    </w:p>
    <w:p w:rsidR="00345DF4" w:rsidRDefault="00F913B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特此公告。    </w:t>
      </w:r>
    </w:p>
    <w:p w:rsidR="00345DF4" w:rsidRDefault="00F913B2" w:rsidP="002052A4">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lastRenderedPageBreak/>
        <w:t xml:space="preserve">                                       华安基金管理有限公司</w:t>
      </w:r>
    </w:p>
    <w:p w:rsidR="00364C2A" w:rsidRPr="002825C8" w:rsidRDefault="00F913B2" w:rsidP="002052A4">
      <w:pPr>
        <w:spacing w:line="360" w:lineRule="auto"/>
        <w:ind w:firstLineChars="200" w:firstLine="480"/>
        <w:jc w:val="right"/>
        <w:rPr>
          <w:rFonts w:asciiTheme="minorEastAsia" w:eastAsiaTheme="minorEastAsia" w:hAnsiTheme="minorEastAsia"/>
          <w:sz w:val="24"/>
          <w:szCs w:val="24"/>
        </w:rPr>
      </w:pPr>
      <w:r w:rsidRPr="002825C8">
        <w:rPr>
          <w:rFonts w:asciiTheme="minorEastAsia" w:eastAsiaTheme="minorEastAsia" w:hAnsiTheme="minorEastAsia"/>
          <w:sz w:val="24"/>
          <w:szCs w:val="24"/>
        </w:rPr>
        <w:t xml:space="preserve">                                           2023年10月26日</w:t>
      </w:r>
      <w:bookmarkStart w:id="3" w:name="_GoBack"/>
      <w:bookmarkEnd w:id="3"/>
    </w:p>
    <w:sectPr w:rsidR="00364C2A" w:rsidRPr="002825C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B2" w:rsidRDefault="00F913B2" w:rsidP="002052A4">
      <w:r>
        <w:separator/>
      </w:r>
    </w:p>
  </w:endnote>
  <w:endnote w:type="continuationSeparator" w:id="0">
    <w:p w:rsidR="00F913B2" w:rsidRDefault="00F913B2" w:rsidP="0020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B2" w:rsidRDefault="00F913B2" w:rsidP="002052A4">
      <w:r>
        <w:separator/>
      </w:r>
    </w:p>
  </w:footnote>
  <w:footnote w:type="continuationSeparator" w:id="0">
    <w:p w:rsidR="00F913B2" w:rsidRDefault="00F913B2" w:rsidP="00205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5DF4"/>
    <w:rsid w:val="002052A4"/>
    <w:rsid w:val="002A6E98"/>
    <w:rsid w:val="00345DF4"/>
    <w:rsid w:val="00D35E44"/>
    <w:rsid w:val="00F91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1039</Characters>
  <Application>Microsoft Office Word</Application>
  <DocSecurity>4</DocSecurity>
  <Lines>8</Lines>
  <Paragraphs>2</Paragraphs>
  <ScaleCrop>false</ScaleCrop>
  <Company>微软中国</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2023-10-25T16:01:00Z</dcterms:created>
  <dcterms:modified xsi:type="dcterms:W3CDTF">2023-10-25T16:01:00Z</dcterms:modified>
</cp:coreProperties>
</file>