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6" w:rsidRDefault="001176C6" w:rsidP="00EA253B">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南方基金</w:t>
      </w:r>
      <w:r>
        <w:rPr>
          <w:rFonts w:ascii="仿宋" w:eastAsia="仿宋" w:hAnsi="仿宋"/>
          <w:b/>
          <w:color w:val="000000" w:themeColor="text1"/>
          <w:sz w:val="36"/>
          <w:szCs w:val="36"/>
        </w:rPr>
        <w:t>管理股份有限公司</w:t>
      </w:r>
      <w:r>
        <w:rPr>
          <w:rFonts w:ascii="仿宋" w:eastAsia="仿宋" w:hAnsi="仿宋" w:hint="eastAsia"/>
          <w:b/>
          <w:color w:val="000000" w:themeColor="text1"/>
          <w:sz w:val="36"/>
          <w:szCs w:val="36"/>
        </w:rPr>
        <w:t>旗下基金</w:t>
      </w:r>
    </w:p>
    <w:p w:rsidR="00254FD6" w:rsidRDefault="000D1979" w:rsidP="00EA253B">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2023年</w:t>
      </w:r>
      <w:r w:rsidR="00093ED2">
        <w:rPr>
          <w:rFonts w:ascii="仿宋" w:eastAsia="仿宋" w:hAnsi="仿宋" w:hint="eastAsia"/>
          <w:b/>
          <w:color w:val="000000" w:themeColor="text1"/>
          <w:sz w:val="36"/>
          <w:szCs w:val="36"/>
        </w:rPr>
        <w:t>第</w:t>
      </w:r>
      <w:r w:rsidR="00AE3F77">
        <w:rPr>
          <w:rFonts w:ascii="仿宋" w:eastAsia="仿宋" w:hAnsi="仿宋" w:hint="eastAsia"/>
          <w:b/>
          <w:color w:val="000000" w:themeColor="text1"/>
          <w:sz w:val="36"/>
          <w:szCs w:val="36"/>
        </w:rPr>
        <w:t>三</w:t>
      </w:r>
      <w:r w:rsidR="00093ED2">
        <w:rPr>
          <w:rFonts w:ascii="仿宋" w:eastAsia="仿宋" w:hAnsi="仿宋" w:hint="eastAsia"/>
          <w:b/>
          <w:color w:val="000000" w:themeColor="text1"/>
          <w:sz w:val="36"/>
          <w:szCs w:val="36"/>
        </w:rPr>
        <w:t>季度</w:t>
      </w:r>
      <w:r w:rsidR="001176C6">
        <w:rPr>
          <w:rFonts w:ascii="仿宋" w:eastAsia="仿宋" w:hAnsi="仿宋" w:hint="eastAsia"/>
          <w:b/>
          <w:color w:val="000000" w:themeColor="text1"/>
          <w:sz w:val="36"/>
          <w:szCs w:val="36"/>
        </w:rPr>
        <w:t>报告提示性公告</w:t>
      </w:r>
    </w:p>
    <w:p w:rsidR="00254FD6" w:rsidRDefault="00254FD6" w:rsidP="00EA253B">
      <w:pPr>
        <w:spacing w:line="540" w:lineRule="exact"/>
        <w:ind w:firstLineChars="50" w:firstLine="180"/>
        <w:jc w:val="center"/>
        <w:rPr>
          <w:rFonts w:ascii="仿宋" w:eastAsia="仿宋" w:hAnsi="仿宋"/>
          <w:b/>
          <w:color w:val="000000" w:themeColor="text1"/>
          <w:sz w:val="36"/>
          <w:szCs w:val="36"/>
        </w:rPr>
      </w:pPr>
    </w:p>
    <w:p w:rsidR="00254FD6" w:rsidRDefault="00E967FD" w:rsidP="00E967FD">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（以下简称“本公司”）</w:t>
      </w:r>
      <w:r w:rsidR="001176C6">
        <w:rPr>
          <w:rFonts w:ascii="仿宋" w:eastAsia="仿宋" w:hAnsi="仿宋" w:hint="eastAsia"/>
          <w:color w:val="000000" w:themeColor="text1"/>
          <w:sz w:val="28"/>
          <w:szCs w:val="28"/>
        </w:rPr>
        <w:t>董事会及董事保证基金</w:t>
      </w:r>
      <w:r w:rsidR="000D1979">
        <w:rPr>
          <w:rFonts w:ascii="仿宋" w:eastAsia="仿宋" w:hAnsi="仿宋" w:hint="eastAsia"/>
          <w:color w:val="000000" w:themeColor="text1"/>
          <w:sz w:val="28"/>
          <w:szCs w:val="28"/>
        </w:rPr>
        <w:t>2023年</w:t>
      </w:r>
      <w:r w:rsidR="00093ED2">
        <w:rPr>
          <w:rFonts w:ascii="仿宋" w:eastAsia="仿宋" w:hAnsi="仿宋" w:hint="eastAsia"/>
          <w:color w:val="000000" w:themeColor="text1"/>
          <w:sz w:val="28"/>
          <w:szCs w:val="28"/>
        </w:rPr>
        <w:t>第</w:t>
      </w:r>
      <w:r w:rsidR="00AE3F77">
        <w:rPr>
          <w:rFonts w:ascii="仿宋" w:eastAsia="仿宋" w:hAnsi="仿宋" w:hint="eastAsia"/>
          <w:color w:val="000000" w:themeColor="text1"/>
          <w:sz w:val="28"/>
          <w:szCs w:val="28"/>
        </w:rPr>
        <w:t>三</w:t>
      </w:r>
      <w:r w:rsidR="00093ED2">
        <w:rPr>
          <w:rFonts w:ascii="仿宋" w:eastAsia="仿宋" w:hAnsi="仿宋" w:hint="eastAsia"/>
          <w:color w:val="000000" w:themeColor="text1"/>
          <w:sz w:val="28"/>
          <w:szCs w:val="28"/>
        </w:rPr>
        <w:t>季度</w:t>
      </w:r>
      <w:r w:rsidR="001176C6">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p>
    <w:p w:rsidR="00254FD6" w:rsidRDefault="00B50694" w:rsidP="00F01331">
      <w:pPr>
        <w:spacing w:line="540" w:lineRule="exact"/>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本公司</w:t>
      </w:r>
      <w:r w:rsidR="000D1979">
        <w:rPr>
          <w:rFonts w:ascii="仿宋" w:eastAsia="仿宋" w:hAnsi="仿宋" w:hint="eastAsia"/>
          <w:color w:val="000000" w:themeColor="text1"/>
          <w:sz w:val="28"/>
          <w:szCs w:val="28"/>
        </w:rPr>
        <w:t>2023年</w:t>
      </w:r>
      <w:r w:rsidR="00093ED2">
        <w:rPr>
          <w:rFonts w:ascii="仿宋" w:eastAsia="仿宋" w:hAnsi="仿宋" w:hint="eastAsia"/>
          <w:color w:val="000000" w:themeColor="text1"/>
          <w:sz w:val="28"/>
          <w:szCs w:val="28"/>
        </w:rPr>
        <w:t>第</w:t>
      </w:r>
      <w:r w:rsidR="00AE3F77">
        <w:rPr>
          <w:rFonts w:ascii="仿宋" w:eastAsia="仿宋" w:hAnsi="仿宋" w:hint="eastAsia"/>
          <w:color w:val="000000" w:themeColor="text1"/>
          <w:sz w:val="28"/>
          <w:szCs w:val="28"/>
        </w:rPr>
        <w:t>三</w:t>
      </w:r>
      <w:r w:rsidR="00093ED2">
        <w:rPr>
          <w:rFonts w:ascii="仿宋" w:eastAsia="仿宋" w:hAnsi="仿宋" w:hint="eastAsia"/>
          <w:color w:val="000000" w:themeColor="text1"/>
          <w:sz w:val="28"/>
          <w:szCs w:val="28"/>
        </w:rPr>
        <w:t>季度</w:t>
      </w:r>
      <w:r>
        <w:rPr>
          <w:rFonts w:ascii="仿宋" w:eastAsia="仿宋" w:hAnsi="仿宋" w:hint="eastAsia"/>
          <w:color w:val="000000" w:themeColor="text1"/>
          <w:sz w:val="28"/>
          <w:szCs w:val="28"/>
        </w:rPr>
        <w:t>报告涉及基金明细如下：</w:t>
      </w:r>
    </w:p>
    <w:tbl>
      <w:tblPr>
        <w:tblW w:w="10841" w:type="dxa"/>
        <w:tblLook w:val="04A0"/>
      </w:tblPr>
      <w:tblGrid>
        <w:gridCol w:w="10841"/>
      </w:tblGrid>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南方稳健成长证券投资基金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南方宝元债券型基金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南方现金增利基金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中证南方小康产业交易型开放式指数证券投资基金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南方积极配置混合型证券投资基金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南方高增长混合型证券投资基金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南方多利增强债券型证券投资基金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南方稳健成长贰号证券投资基金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南方绩优成长混合型证券投资基金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南方成份精选混合型证券投资基金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南方全球精选配置证券投资基金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南方隆元产业主题混合型证券投资基金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南方盛元红利混合型证券投资基金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南方优选价值混合型证券投资基金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南方中证100指数证券投资基金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南方沪深300交易型开放式指数证券投资基金联接基金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南方中证500交易型开放式指数证券投资基金联接基金(LOF)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lastRenderedPageBreak/>
              <w:t>深证成份交易型开放式指数证券投资基金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南方深证成份交易型开放式指数证券投资基金联接基金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南方策略优化混合型证券投资基金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中证南方小康产业交易型开放式指数证券投资基金联接基金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南方广利回报债券型证券投资基金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南方优选成长混合型证券投资基金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南方平衡配置混合型证券投资基金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上证380交易型开放式指数证券投资基金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南方上证380交易型开放式指数证券投资基金联接基金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南方香港优选股票型证券投资基金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南方新兴消费增长股票型证券投资基金(LOF)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南方金利定期开放债券型证券投资基金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南方润元纯债债券型证券投资基金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南方旺元60天滚动持有中短债债券型证券投资基金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南方核心竞争混合型证券投资基金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南方收益宝货币市场基金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中证500交易型开放式指数证券投资基金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南方沪深300交易型开放式指数证券投资基金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南方稳利1年持有期债券型证券投资基金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南方丰元信用增强债券型证券投资基金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南方现金通货币市场基金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南方医药保健灵活配置混合型证券投资基金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南方新优享灵活配置混合型证券投资基金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lastRenderedPageBreak/>
              <w:t>南方通利债券型证券投资基金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中国梦灵活配置混合型证券投资基金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南方薪金宝货币市场基金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南方天元新产业股票型证券投资基金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南方高端装备混合型证券投资基金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南方启元债券型证券投资基金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南方绝对收益策略定期开放混合型发起式证券投资基金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南方理财金交易型货币市场基金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南方恒生交易型开放式指数证券投资基金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南方产业活力股票型证券投资基金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南方双元债券型证券投资基金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南方创新经济灵活配置混合型证券投资基金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南方利淘灵活配置混合型证券投资基金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南方大数据100指数证券投资基金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南方改革机遇灵活配置混合型证券投资基金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南方利鑫灵活配置混合型证券投资基金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南方利众灵活配置混合型证券投资基金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南方潜力新蓝筹混合型证券投资基金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南方中证高铁产业指数证券投资基金（LOF）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南方大数据300指数证券投资基金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南方量化成长股票型证券投资基金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中证500信息技术指数交易型开放式指数证券投资基金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南方利达灵活配置混合型证券投资基金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南方国策动力股票型证券投资基金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南方香港成长灵活配置混合型证券投资基金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南方中小盘成长股票型证券投资基金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南方利安灵活配置混合型证券投资基金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南方荣光灵活配置混合型证券投资基金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南方弘利定期开放债券型发起式证券投资基金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南方益和灵活配置混合型证券投资基金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南方君选灵活配置混合型证券投资基金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南方日添益货币市场基金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南方亚洲美元收益债券型证券投资基金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南方转型驱动灵活配置混合型证券投资基金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南方新兴龙头灵活配置混合型证券投资基金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南方创业板交易型开放式指数证券投资基金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南方创业板交易型开放式指数证券投资基金联接基金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南方原油证券投资基金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南方品质优选灵活配置混合型证券投资基金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南方中证500信息技术指数交易型开放式指数证券投资基金发起式联接基金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南方转型增长灵活配置混合型证券投资基金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南方安泰混合型证券投资基金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南方颐元定期开放债券型发起式证券投资基金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南方多元定期开放债券型发起式证券投资基金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南方中证1000交易型开放式指数证券投资基金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南方天天利货币市场基金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南方卓元债券型证券投资基金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南方安裕混合型证券投资基金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南方中证500量化增强股票型发起式证券投资基金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南方宣利定期开放债券型证券投资基金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南方安颐混合型证券投资基金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南方宏元定期开放债券型发起式证券投资基金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南方产业智选股票型证券投资基金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南方军工改革灵活配置混合型证券投资基金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南方中证全指证券公司交易型开放式指数证券投资基金联接基金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南方中证全指证券公司交易型开放式指数证券投资基金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南方智慧精选灵活配置混合型证券投资基金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南方和元债券型证券投资基金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南方荣尊混合型证券投资基金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南方纯元债券型证券投资基金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南方安康混合型证券投资基金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南方中证银行交易型开放式指数证券投资基金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南方中证银行交易型开放式指数证券投资基金发起式联接基金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南方安睿混合型证券投资基金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南方荣年一年持有期混合型证券投资基金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南方恒生交易型开放式指数证券投资基金联接基金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南方金融主题灵活配置混合型证券投资基金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南方祥元债券型证券投资基金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南方中证申万有色金属交易型开放式指数证券投资基金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南方天天宝货币市场基金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南方中证全指房地产交易型开放式指数证券投资基金发起式联接基金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南方中证全指房地产交易型开放式指数证券投资基金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南方中证申万有色金属交易型开放式指数证券投资基金发起式联接基金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南方兴利半年定期开放债券型发起式证券投资基金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南方兴盛先锋灵活配置混合型证券投资基金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南方全天候策略混合型基金中基金(FOF)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南方道琼斯美国精选REIT指数证券投资基金（QDII-LOF）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南方安福混合型证券投资基金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南方优享分红灵活配置混合型证券投资基金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南方卓利3个月定期开放债券型发起式证券投资基金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南方安养混合型证券投资基金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南方恒生中国企业交易型开放式指数证券投资基金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南方恒生中国企业交易型开放式指数证券投资基金联接基金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南方乾利定期开放债券型发起式证券投资基金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南方浙利定期开放债券型发起式证券投资基金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南方希元可转债债券型证券投资基金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MSCI中国A股国际通交易型开放式指数证券投资基金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南方涪利定期开放债券型发起式证券投资基金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南方成安优选灵活配置混合型证券投资基金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南方瑞祥一年定期开放灵活配置混合型证券投资基金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南方君信灵活配置混合型证券投资基金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MSCI中国A股国际通交易型开放式指数证券投资基金发起式联接基金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南方优势产业灵活配置混合型证券投资基金(LOF)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南方瑞合三年定期开放混合型发起式证券投资基金(LOF)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南方泽元债券型证券投资基金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南方赢元债券型证券投资基金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南方人工智能主题混合型证券投资基金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南方养老目标日期2035三年持有期混合型基金中基金(FOF)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南方中债1-3年国开行债券指数证券投资基金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南方吉元短债债券型证券投资基金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南方中债3-5年农发行债券指数证券投资基金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南方交元债券型证券投资基金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南方畅利定期开放债券型发起式证券投资基金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南方昌元可转债债券型证券投资基金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南方国利6个月定期开放债券型发起式证券投资基金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南方合顺多资产配置混合型基金中基金(FOF)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南方华元债券型证券投资基金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南方臻元债券型证券投资基金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南方亨元债券型发起式证券投资基金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南方智诚混合型证券投资基金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南方中债7-10年国开行债券指数证券投资基金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南方鑫利3个月定期开放债券型发起式证券投资基金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南方惠利6个月定期开放债券型证券投资基金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南方科技创新混合型证券投资基金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南方富元稳健养老目标一年持有期混合型基金中基金（FOF）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南方恒庆一年定期开放债券型证券投资基金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南方致远混合型证券投资基金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南方顶峰TOPIX交易型开放式指数证券投资基金(QDII)</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南方初元中短债债券型发起式证券投资基金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南方信息创新混合型证券投资基金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南方旭元债券型发起式证券投资基金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南方泰元债券型发起式证券投资基金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南方恒新39个月定期开放债券型证券投资基金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南方贺元利率债债券型证券投资基金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南方聪元债券型发起式证券投资基金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南方智锐混合型证券投资基金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南方定元中短债债券型证券投资基金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南方梦元短债债券型证券投资基金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南方皓元短债债券型证券投资基金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南方养老目标日期2030三年持有期混合型发起式基金中基金(FOF)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南方ESG主题股票型证券投资基金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南方远利3个月定期开放债券型发起式证券投资基金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南方宝泰一年持有期混合型证券投资基金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南方创利3个月定期开放债券型发起式证券投资基金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南方宁利一年定期开放债券型发起式证券投资基金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南方标普中国A股大盘红利低波50交易型开放式指数证券投资基金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南方标普中国A股大盘红利低波50交易型开放式指数证券投资基金联接基金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南方内需增长两年持有期股票型证券投资基金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南方尊利一年定期开放债券型发起式证券投资基金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南方鼎利一年定期开放债券型发起式证券投资基金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南方骏元中短期利率债债券型证券投资基金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南方宝丰混合型证券投资基金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南方中债0-5年中高等级江苏省城投类债券指数证券投资基金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南方乐元中短期利率债债券型证券投资基金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南方得利一年定期开放债券型发起式证券投资基金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南方集利18个月持有期债券型证券投资基金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南方瑞盛三年持有期混合型证券投资基金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南方中债1-5年国开行债券指数证券投资基金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南方沪深300指数增强型证券投资基金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南方上证50指数增强型发起式证券投资基金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南方誉慧一年持有期混合型证券投资基金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南方招利一年定期开放债券型发起式证券投资基金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南方誉丰18个月持有期混合型证券投资基金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南方成长先锋混合型证券投资基金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南方昭元债券型发起式证券投资基金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南方升元中短期利率债债券型证券投资基金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南方核心成长混合型证券投资基金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南方创新精选一年定期开放混合型发起式证券投资基金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南方养老目标日期2045三年持有期混合型发起式基金中基金(FOF)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南方高股息主题股票型证券投资基金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南方科创板3年定期开放混合型证券投资基金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南方养老目标日期2040三年持有期混合型发起式基金中基金(FOF)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南方景气驱动混合型证券投资基金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南方中债0-2年国开行债券指数证券投资基金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南方产业优势两年持有期混合型证券投资基金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南方创新驱动混合型证券投资基金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南方创业板2年定期开放混合型证券投资基金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南方创新成长混合型证券投资基金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南方行业精选一年持有期混合型证券投资基金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南方誉尚一年持有期混合型证券投资基金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南方誉鼎一年持有期混合型证券投资基金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南方中证互联网指数证券投资基金(LOF)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南方产业升级混合型证券投资基金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南方沪港深核心优势混合型证券投资基金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南方宁悦一年持有期混合型证券投资基金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南方宝升混合型证券投资基金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南方阿尔法混合型证券投资基金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南方消费升级混合型证券投资基金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南方中证新能源交易型开放式指数证券投资基金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南方匠心优选股票型证券投资基金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南方兴润价值一年持有期混合型证券投资基金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南方卓越优选3个月持有期混合型证券投资基金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南方医药创新股票型证券投资基金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南方优质企业混合型证券投资基金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南方中证创新药产业交易型开放式指数证券投资基金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南方宝顺混合型证券投资基金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南方远见回报股票型证券投资基金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南方崇元纯债债券型证券投资基金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南方誉享一年持有期混合型证券投资基金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南方誉隆一年持有期混合型证券投资基金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南方浩睿进取京选3个月持有期混合型基金中基金（FOF）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南方均衡回报混合型证券投资基金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南方誉浦一年持有期混合型证券投资基金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南方晖元6个月持有期债券型证券投资基金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南方宝恒混合型证券投资基金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南方景元中高等级信用债债券型证券投资基金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南方臻利3个月定期开放债券型发起式证券投资基金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南方佳元6个月持有期债券型证券投资基金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南方价值臻选混合型证券投资基金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南方中证科创创业50交易型开放式指数证券投资基金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南方中证香港科技交易型开放式指数证券投资基金(QDII)</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南方港股通优势企业混合型证券投资基金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南方富瑞稳健养老目标一年持有期混合型基金中基金(FOF)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南方行业领先混合型证券投资基金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南方中国新兴经济9个月持有期混合型证券投资基金(QDII)</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南方中证科创创业50交易型开放式指数证券投资基金联接基金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南方中证新能源交易型开放式指数证券投资基金联接基金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南方新能源产业趋势混合型证券投资基金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南方均衡优选一年持有期混合型证券投资基金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南方兴锦利一年定期开放债券型发起式证券投资基金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南方蓝筹成长混合型证券投资基金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南方中证1000交易型开放式指数证券投资基金发起式联接基金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南方富誉稳健养老目标一年持有期混合型基金中基金（FOF）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南方中证科技100交易型开放式指数证券投资基金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南方中证全指医疗保健设备与服务交易型开放式指数证券投资基金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南方永元一年持有期债券型证券投资基金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南方MSCI中国A50互联互通交易型开放式指数证券投资基金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南方中证物联网主题交易型开放式指数证券投资基金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南方月月享30天滚动持有债券型发起式证券投资基金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南方北交所精选两年定期开放混合型发起式证券投资基金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南方领航优选混合型证券投资基金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南方定利一年定期开放债券型证券投资基金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南方中证长江保护主题交易型开放式指数证券投资基金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南方誉盈一年持有期混合型证券投资基金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南方上证科创板50成份交易型开放式指数证券投资基金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南方富时中国国企开放共赢交易型开放式指数证券投资基金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南方中证同业存单AAA指数7天持有期证券投资基金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南方港股创新视野一年持有期混合型证券投资基金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南方国证在线消费交易型开放式指数证券投资基金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南方专精特新混合型证券投资基金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南方MSCI中国A50互联互通交易型开放式指数证券投资基金联接基金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南方宝昌混合型证券投资基金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南方中证500增强策略交易型开放式指数证券投资基金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南方通元6个月持有期债券型证券投资基金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南方比较优势混合型证券投资基金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南方新兴产业混合型证券投资基金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南方宝裕混合型证券投资基金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南方上海金交易型开放式证券投资基金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南方发展机遇一年持有期混合型证券投资基金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南方养老目标日期2050五年持有期混合型发起式基金中基金（FOF）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南方信元债券型证券投资基金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南方浩泰平衡优选一年持有期混合型基金中基金（FOF）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南方竞争优势混合型证券投资基金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南方富祥稳健养老目标一年持有期混合型基金中基金（FOF）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南方浩益进取聚申3个月持有期混合型基金中基金（FOF）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南方誉稳一年持有期混合型证券投资基金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南方誉恒一年持有期混合型证券投资基金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南方誉泰稳健6个月持有期混合型基金中基金（FOF）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南方恒生香港上市生物科技交易型开放式指数证券投资基金(QDII)</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南方宝嘉混合型证券投资基金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南方中证上海环交所碳中和交易型开放式指数证券投资基金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南方晨利一年定期开放债券型发起式证券投资基金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南方宝祥混合型证券投资基金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南方高质量优选混合型证券投资基金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南方鑫悦15个月持有期混合型证券投资基金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南方耀元债券型证券投资基金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南方光元债券型证券投资基金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南方均衡成长混合型证券投资基金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南方上证科创板新材料交易型开放式指数证券投资基金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南方碳中和股票型发起式证券投资基金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南方景气楚荟3个月持有期混合型基金中基金（FOF）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南方浩鑫稳健优选6个月持有期混合型基金中基金（FOF）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南方浩誉稳健18个月持有期混合型基金中基金（FOF）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南方振元债券型发起式证券投资基金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南方君誉混合型证券投资基金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南方国证交通运输行业交易型开放式指数证券投资基金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南方稳鑫6个月持有期债券型证券投资基金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南方纳斯达克100指数发起式证券投资基金（QDII）</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南方上证科创板50成份增强策略交易型开放式指数证券投资基金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南方基金南方东英银河联昌富时亚太低碳精选交易型开放式指数证券投资基金（QDII）</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南方中证政策性金融债指数证券投资基金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南方北证50成份指数发起式证券投资基金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南方养老目标日期2060五年持有期混合型发起式基金中基金（FOF）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南方前瞻动力混合型证券投资基金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南方恒泽18个月封闭式债券型证券投资基金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南方浩祥3个月持有期债券型发起式基金中基金（FOF）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南方中证主要消费交易型开放式指数证券投资基金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南方景气前瞻混合型证券投资基金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南方新材料股票型发起式证券投资基金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南方标普500交易型开放式指数证券投资基金（QDII）</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南方养老目标日期2055五年持有期混合型发起式基金中基金（FOF）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南方达元债券型证券投资基金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南方浩恒稳健优选6个月持有期混合型基金中基金（FOF）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南方中证长江保护主题交易型开放式指数证券投资基金联接基金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南方沪深300ESG基准交易型开放式指数证券投资基金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南方中证全指电力公用事业交易型开放式指数证券投资基金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南方浩稳优选9个月持有期混合型基金中基金（FOF）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南方浩盈进取精选一年持有期混合型基金中基金（FOF）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南方浩升稳健优选6个月持有期混合型基金中基金（FOF）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南方浩达稳健优选一年持有期混合型基金中基金（FOF）</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南方ESG纯债债券型发起式证券投资基金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南方恒生香港上市生物科技交易型开放式指数证券投资基金发起式联接基金（QDII）</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南方贤元一年持有期债券型证券投资基金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南方中证上海环交所碳中和交易型开放式指数证券投资基金联接基金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南方津享稳健添利债券型证券投资基金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南方中证国新央企科技引领交易型开放式指数证券投资基金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南方核心科技一年持有期混合型证券投资基金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南方上海金交易型开放式证券投资基金发起式联接基金</w:t>
            </w:r>
          </w:p>
        </w:tc>
      </w:tr>
      <w:tr w:rsidR="006078C2" w:rsidRPr="006078C2" w:rsidTr="006078C2">
        <w:trPr>
          <w:trHeight w:val="255"/>
        </w:trPr>
        <w:tc>
          <w:tcPr>
            <w:tcW w:w="10841" w:type="dxa"/>
            <w:tcBorders>
              <w:top w:val="nil"/>
              <w:left w:val="nil"/>
              <w:bottom w:val="nil"/>
              <w:right w:val="nil"/>
            </w:tcBorders>
            <w:shd w:val="clear" w:color="auto" w:fill="auto"/>
            <w:noWrap/>
            <w:vAlign w:val="bottom"/>
          </w:tcPr>
          <w:p w:rsidR="006078C2" w:rsidRPr="006078C2" w:rsidRDefault="006078C2" w:rsidP="006078C2">
            <w:pPr>
              <w:widowControl/>
              <w:jc w:val="left"/>
              <w:rPr>
                <w:rFonts w:ascii="仿宋" w:eastAsia="仿宋" w:hAnsi="仿宋" w:cs="Arial"/>
                <w:kern w:val="0"/>
                <w:sz w:val="28"/>
                <w:szCs w:val="28"/>
              </w:rPr>
            </w:pPr>
            <w:r w:rsidRPr="006078C2">
              <w:rPr>
                <w:rFonts w:ascii="仿宋" w:eastAsia="仿宋" w:hAnsi="仿宋" w:cs="Arial" w:hint="eastAsia"/>
                <w:kern w:val="0"/>
                <w:sz w:val="28"/>
                <w:szCs w:val="28"/>
              </w:rPr>
              <w:t>南方中证通信服务交易型开放式指数证券投资基金</w:t>
            </w:r>
          </w:p>
        </w:tc>
      </w:tr>
    </w:tbl>
    <w:p w:rsidR="00254FD6" w:rsidRDefault="000D1979" w:rsidP="000D1979">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B50694">
        <w:rPr>
          <w:rFonts w:ascii="仿宋" w:eastAsia="仿宋" w:hAnsi="仿宋" w:hint="eastAsia"/>
          <w:color w:val="000000" w:themeColor="text1"/>
          <w:sz w:val="28"/>
          <w:szCs w:val="28"/>
        </w:rPr>
        <w:t>上述基金</w:t>
      </w:r>
      <w:r>
        <w:rPr>
          <w:rFonts w:ascii="仿宋" w:eastAsia="仿宋" w:hAnsi="仿宋" w:hint="eastAsia"/>
          <w:color w:val="000000" w:themeColor="text1"/>
          <w:sz w:val="28"/>
          <w:szCs w:val="28"/>
        </w:rPr>
        <w:t>2023年</w:t>
      </w:r>
      <w:r w:rsidR="00093ED2">
        <w:rPr>
          <w:rFonts w:ascii="仿宋" w:eastAsia="仿宋" w:hAnsi="仿宋" w:hint="eastAsia"/>
          <w:color w:val="000000" w:themeColor="text1"/>
          <w:sz w:val="28"/>
          <w:szCs w:val="28"/>
        </w:rPr>
        <w:t>第</w:t>
      </w:r>
      <w:r w:rsidR="00AE3F77">
        <w:rPr>
          <w:rFonts w:ascii="仿宋" w:eastAsia="仿宋" w:hAnsi="仿宋" w:hint="eastAsia"/>
          <w:color w:val="000000" w:themeColor="text1"/>
          <w:sz w:val="28"/>
          <w:szCs w:val="28"/>
        </w:rPr>
        <w:t>三</w:t>
      </w:r>
      <w:r w:rsidR="00093ED2">
        <w:rPr>
          <w:rFonts w:ascii="仿宋" w:eastAsia="仿宋" w:hAnsi="仿宋" w:hint="eastAsia"/>
          <w:color w:val="000000" w:themeColor="text1"/>
          <w:sz w:val="28"/>
          <w:szCs w:val="28"/>
        </w:rPr>
        <w:t>季度</w:t>
      </w:r>
      <w:r w:rsidR="001176C6">
        <w:rPr>
          <w:rFonts w:ascii="仿宋" w:eastAsia="仿宋" w:hAnsi="仿宋"/>
          <w:color w:val="000000" w:themeColor="text1"/>
          <w:sz w:val="28"/>
          <w:szCs w:val="28"/>
        </w:rPr>
        <w:t>报告全文</w:t>
      </w:r>
      <w:r w:rsidR="001176C6">
        <w:rPr>
          <w:rFonts w:ascii="仿宋" w:eastAsia="仿宋" w:hAnsi="仿宋" w:hint="eastAsia"/>
          <w:color w:val="000000" w:themeColor="text1"/>
          <w:sz w:val="28"/>
          <w:szCs w:val="28"/>
        </w:rPr>
        <w:t>于202</w:t>
      </w:r>
      <w:r w:rsidR="00B0625A">
        <w:rPr>
          <w:rFonts w:ascii="仿宋" w:eastAsia="仿宋" w:hAnsi="仿宋"/>
          <w:color w:val="000000" w:themeColor="text1"/>
          <w:sz w:val="28"/>
          <w:szCs w:val="28"/>
        </w:rPr>
        <w:t>3</w:t>
      </w:r>
      <w:r w:rsidR="001176C6">
        <w:rPr>
          <w:rFonts w:ascii="仿宋" w:eastAsia="仿宋" w:hAnsi="仿宋" w:hint="eastAsia"/>
          <w:color w:val="000000" w:themeColor="text1"/>
          <w:sz w:val="28"/>
          <w:szCs w:val="28"/>
        </w:rPr>
        <w:t>年</w:t>
      </w:r>
      <w:r w:rsidR="00AE3F77">
        <w:rPr>
          <w:rFonts w:ascii="仿宋" w:eastAsia="仿宋" w:hAnsi="仿宋"/>
          <w:color w:val="000000" w:themeColor="text1"/>
          <w:sz w:val="28"/>
          <w:szCs w:val="28"/>
        </w:rPr>
        <w:t>10</w:t>
      </w:r>
      <w:r w:rsidR="001176C6">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w:t>
      </w:r>
      <w:r w:rsidR="00AE3F77">
        <w:rPr>
          <w:rFonts w:ascii="仿宋" w:eastAsia="仿宋" w:hAnsi="仿宋"/>
          <w:color w:val="000000" w:themeColor="text1"/>
          <w:sz w:val="28"/>
          <w:szCs w:val="28"/>
        </w:rPr>
        <w:t>5</w:t>
      </w:r>
      <w:r w:rsidR="001176C6">
        <w:rPr>
          <w:rFonts w:ascii="仿宋" w:eastAsia="仿宋" w:hAnsi="仿宋" w:hint="eastAsia"/>
          <w:color w:val="000000" w:themeColor="text1"/>
          <w:sz w:val="28"/>
          <w:szCs w:val="28"/>
        </w:rPr>
        <w:t>日在</w:t>
      </w:r>
      <w:r w:rsidR="001176C6">
        <w:rPr>
          <w:rFonts w:ascii="仿宋" w:eastAsia="仿宋" w:hAnsi="仿宋"/>
          <w:color w:val="000000" w:themeColor="text1"/>
          <w:sz w:val="28"/>
          <w:szCs w:val="28"/>
        </w:rPr>
        <w:t>本公司网站</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u w:val="single"/>
        </w:rPr>
        <w:t>www.nffund.com</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和中国证监会</w:t>
      </w:r>
      <w:r w:rsidR="001176C6">
        <w:rPr>
          <w:rFonts w:ascii="仿宋" w:eastAsia="仿宋" w:hAnsi="仿宋" w:hint="eastAsia"/>
          <w:color w:val="000000" w:themeColor="text1"/>
          <w:sz w:val="28"/>
          <w:szCs w:val="28"/>
        </w:rPr>
        <w:t>基金</w:t>
      </w:r>
      <w:r w:rsidR="001176C6">
        <w:rPr>
          <w:rFonts w:ascii="仿宋" w:eastAsia="仿宋" w:hAnsi="仿宋"/>
          <w:color w:val="000000" w:themeColor="text1"/>
          <w:sz w:val="28"/>
          <w:szCs w:val="28"/>
        </w:rPr>
        <w:t>电子披露网站</w:t>
      </w:r>
      <w:r w:rsidR="001176C6">
        <w:rPr>
          <w:rFonts w:ascii="仿宋" w:eastAsia="仿宋" w:hAnsi="仿宋" w:hint="eastAsia"/>
          <w:color w:val="000000" w:themeColor="text1"/>
          <w:sz w:val="28"/>
          <w:szCs w:val="28"/>
        </w:rPr>
        <w:t>（</w:t>
      </w:r>
      <w:hyperlink r:id="rId7" w:history="1">
        <w:r w:rsidR="001176C6">
          <w:rPr>
            <w:rStyle w:val="a9"/>
            <w:rFonts w:ascii="仿宋" w:eastAsia="仿宋" w:hAnsi="仿宋" w:hint="eastAsia"/>
            <w:sz w:val="28"/>
            <w:szCs w:val="28"/>
          </w:rPr>
          <w:t>http://eid.csrc.gov.cn/fund</w:t>
        </w:r>
      </w:hyperlink>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披露，供投资者查阅。</w:t>
      </w:r>
      <w:r w:rsidR="001176C6">
        <w:rPr>
          <w:rFonts w:ascii="仿宋" w:eastAsia="仿宋" w:hAnsi="仿宋" w:hint="eastAsia"/>
          <w:color w:val="000000" w:themeColor="text1"/>
          <w:sz w:val="28"/>
          <w:szCs w:val="28"/>
        </w:rPr>
        <w:t>如有疑问可拨打本公司客服电话（</w:t>
      </w:r>
      <w:r w:rsidR="001176C6">
        <w:rPr>
          <w:rFonts w:ascii="仿宋" w:eastAsia="仿宋" w:hAnsi="仿宋"/>
          <w:color w:val="000000" w:themeColor="text1"/>
          <w:sz w:val="28"/>
          <w:szCs w:val="28"/>
        </w:rPr>
        <w:t>400-889-8899</w:t>
      </w:r>
      <w:r w:rsidR="001176C6">
        <w:rPr>
          <w:rFonts w:ascii="仿宋" w:eastAsia="仿宋" w:hAnsi="仿宋" w:hint="eastAsia"/>
          <w:color w:val="000000" w:themeColor="text1"/>
          <w:sz w:val="28"/>
          <w:szCs w:val="28"/>
        </w:rPr>
        <w:t>）咨询</w:t>
      </w:r>
      <w:r w:rsidR="001176C6">
        <w:rPr>
          <w:rFonts w:ascii="仿宋" w:eastAsia="仿宋" w:hAnsi="仿宋"/>
          <w:color w:val="000000" w:themeColor="text1"/>
          <w:sz w:val="28"/>
          <w:szCs w:val="28"/>
        </w:rPr>
        <w:t>。</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w:t>
      </w:r>
      <w:bookmarkStart w:id="0" w:name="_GoBack"/>
      <w:bookmarkEnd w:id="0"/>
      <w:r>
        <w:rPr>
          <w:rFonts w:ascii="仿宋" w:eastAsia="仿宋" w:hAnsi="仿宋" w:hint="eastAsia"/>
          <w:color w:val="000000" w:themeColor="text1"/>
          <w:sz w:val="28"/>
          <w:szCs w:val="28"/>
        </w:rPr>
        <w:t>实信用、勤勉尽责的原则管理和运用基金资产，但不保证基金一定盈利，也不保证最低收益。请充分了解基金的风险收益特征，审慎做出投资决定。</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sidR="00B0625A">
        <w:rPr>
          <w:rFonts w:ascii="仿宋" w:eastAsia="仿宋" w:hAnsi="仿宋" w:hint="eastAsia"/>
          <w:color w:val="000000" w:themeColor="text1"/>
          <w:sz w:val="28"/>
          <w:szCs w:val="28"/>
        </w:rPr>
        <w:t xml:space="preserve">  2023</w:t>
      </w:r>
      <w:r>
        <w:rPr>
          <w:rFonts w:ascii="仿宋" w:eastAsia="仿宋" w:hAnsi="仿宋" w:hint="eastAsia"/>
          <w:color w:val="000000" w:themeColor="text1"/>
          <w:sz w:val="28"/>
          <w:szCs w:val="28"/>
        </w:rPr>
        <w:t>年</w:t>
      </w:r>
      <w:r w:rsidR="00AE3F77">
        <w:rPr>
          <w:rFonts w:ascii="仿宋" w:eastAsia="仿宋" w:hAnsi="仿宋"/>
          <w:color w:val="000000" w:themeColor="text1"/>
          <w:sz w:val="28"/>
          <w:szCs w:val="28"/>
        </w:rPr>
        <w:t>10</w:t>
      </w:r>
      <w:r>
        <w:rPr>
          <w:rFonts w:ascii="仿宋" w:eastAsia="仿宋" w:hAnsi="仿宋" w:hint="eastAsia"/>
          <w:color w:val="000000" w:themeColor="text1"/>
          <w:sz w:val="28"/>
          <w:szCs w:val="28"/>
        </w:rPr>
        <w:t>月</w:t>
      </w:r>
      <w:r w:rsidR="00AE3F77">
        <w:rPr>
          <w:rFonts w:ascii="仿宋" w:eastAsia="仿宋" w:hAnsi="仿宋"/>
          <w:color w:val="000000" w:themeColor="text1"/>
          <w:sz w:val="28"/>
          <w:szCs w:val="28"/>
        </w:rPr>
        <w:t>25</w:t>
      </w:r>
      <w:r>
        <w:rPr>
          <w:rFonts w:ascii="仿宋" w:eastAsia="仿宋" w:hAnsi="仿宋" w:hint="eastAsia"/>
          <w:color w:val="000000" w:themeColor="text1"/>
          <w:sz w:val="28"/>
          <w:szCs w:val="28"/>
        </w:rPr>
        <w:t>日</w:t>
      </w:r>
    </w:p>
    <w:sectPr w:rsidR="00254FD6" w:rsidSect="000D1979">
      <w:footerReference w:type="default" r:id="rId8"/>
      <w:footerReference w:type="first" r:id="rId9"/>
      <w:pgSz w:w="11906" w:h="16838"/>
      <w:pgMar w:top="720" w:right="720" w:bottom="720" w:left="72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16" w:rsidRDefault="00C91F16">
      <w:r>
        <w:separator/>
      </w:r>
    </w:p>
  </w:endnote>
  <w:endnote w:type="continuationSeparator" w:id="0">
    <w:p w:rsidR="00C91F16" w:rsidRDefault="00C91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C91F16" w:rsidRDefault="00D3494C">
        <w:pPr>
          <w:pStyle w:val="a5"/>
          <w:jc w:val="center"/>
        </w:pPr>
        <w:r>
          <w:fldChar w:fldCharType="begin"/>
        </w:r>
        <w:r w:rsidR="00C91F16">
          <w:instrText>PAGE   \* MERGEFORMAT</w:instrText>
        </w:r>
        <w:r>
          <w:fldChar w:fldCharType="separate"/>
        </w:r>
        <w:r w:rsidR="00EA253B" w:rsidRPr="00EA253B">
          <w:rPr>
            <w:noProof/>
            <w:lang w:val="zh-CN"/>
          </w:rPr>
          <w:t>2</w:t>
        </w:r>
        <w:r>
          <w:fldChar w:fldCharType="end"/>
        </w:r>
      </w:p>
    </w:sdtContent>
  </w:sdt>
  <w:p w:rsidR="00C91F16" w:rsidRDefault="00C91F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C91F16" w:rsidRDefault="00D3494C">
        <w:pPr>
          <w:pStyle w:val="a5"/>
          <w:jc w:val="center"/>
        </w:pPr>
        <w:r>
          <w:fldChar w:fldCharType="begin"/>
        </w:r>
        <w:r w:rsidR="00C91F16">
          <w:instrText>PAGE   \* MERGEFORMAT</w:instrText>
        </w:r>
        <w:r>
          <w:fldChar w:fldCharType="separate"/>
        </w:r>
        <w:r w:rsidR="00EA253B" w:rsidRPr="00EA253B">
          <w:rPr>
            <w:noProof/>
            <w:lang w:val="zh-CN"/>
          </w:rPr>
          <w:t>1</w:t>
        </w:r>
        <w:r>
          <w:fldChar w:fldCharType="end"/>
        </w:r>
      </w:p>
    </w:sdtContent>
  </w:sdt>
  <w:p w:rsidR="00C91F16" w:rsidRDefault="00C91F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16" w:rsidRDefault="00C91F16">
      <w:r>
        <w:separator/>
      </w:r>
    </w:p>
  </w:footnote>
  <w:footnote w:type="continuationSeparator" w:id="0">
    <w:p w:rsidR="00C91F16" w:rsidRDefault="00C91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formatting="1"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RlMzk1ZGVkOWQwZDBlYzc3YjFkNjAxNWRiZWJmYzUifQ=="/>
  </w:docVars>
  <w:rsids>
    <w:rsidRoot w:val="009A149B"/>
    <w:rsid w:val="00001760"/>
    <w:rsid w:val="00007257"/>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3ED2"/>
    <w:rsid w:val="00094F20"/>
    <w:rsid w:val="000A0272"/>
    <w:rsid w:val="000A0ECE"/>
    <w:rsid w:val="000A588E"/>
    <w:rsid w:val="000B53A5"/>
    <w:rsid w:val="000B673F"/>
    <w:rsid w:val="000C06E1"/>
    <w:rsid w:val="000C1032"/>
    <w:rsid w:val="000C7383"/>
    <w:rsid w:val="000D18EF"/>
    <w:rsid w:val="000D1979"/>
    <w:rsid w:val="000E13E9"/>
    <w:rsid w:val="000E33D2"/>
    <w:rsid w:val="000E7D66"/>
    <w:rsid w:val="000F07E6"/>
    <w:rsid w:val="000F407E"/>
    <w:rsid w:val="000F6458"/>
    <w:rsid w:val="001039BC"/>
    <w:rsid w:val="0011696C"/>
    <w:rsid w:val="001176C6"/>
    <w:rsid w:val="001279BE"/>
    <w:rsid w:val="0013251E"/>
    <w:rsid w:val="00134BBF"/>
    <w:rsid w:val="001445A9"/>
    <w:rsid w:val="00146307"/>
    <w:rsid w:val="001533B2"/>
    <w:rsid w:val="001623CF"/>
    <w:rsid w:val="00164F70"/>
    <w:rsid w:val="00165D5C"/>
    <w:rsid w:val="00166B15"/>
    <w:rsid w:val="00167CFB"/>
    <w:rsid w:val="001724A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54FD6"/>
    <w:rsid w:val="00261CDE"/>
    <w:rsid w:val="0026276F"/>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E7F7A"/>
    <w:rsid w:val="003F4E13"/>
    <w:rsid w:val="003F6960"/>
    <w:rsid w:val="0040020D"/>
    <w:rsid w:val="00405ADB"/>
    <w:rsid w:val="004254EE"/>
    <w:rsid w:val="00430D19"/>
    <w:rsid w:val="00433480"/>
    <w:rsid w:val="0043655D"/>
    <w:rsid w:val="00437D86"/>
    <w:rsid w:val="00441246"/>
    <w:rsid w:val="00441E0B"/>
    <w:rsid w:val="004476AA"/>
    <w:rsid w:val="00452A46"/>
    <w:rsid w:val="00454581"/>
    <w:rsid w:val="00454978"/>
    <w:rsid w:val="00467E81"/>
    <w:rsid w:val="004744B6"/>
    <w:rsid w:val="004748B9"/>
    <w:rsid w:val="00477BA8"/>
    <w:rsid w:val="00477EB2"/>
    <w:rsid w:val="0048111A"/>
    <w:rsid w:val="00487BF1"/>
    <w:rsid w:val="00491FCB"/>
    <w:rsid w:val="004975AD"/>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06DBF"/>
    <w:rsid w:val="006078C2"/>
    <w:rsid w:val="006163B1"/>
    <w:rsid w:val="00616874"/>
    <w:rsid w:val="0062589F"/>
    <w:rsid w:val="00626EA8"/>
    <w:rsid w:val="00635F5D"/>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43C2"/>
    <w:rsid w:val="00756CAD"/>
    <w:rsid w:val="007629BB"/>
    <w:rsid w:val="00762A82"/>
    <w:rsid w:val="007633B5"/>
    <w:rsid w:val="007703B8"/>
    <w:rsid w:val="00771227"/>
    <w:rsid w:val="00772D42"/>
    <w:rsid w:val="00775751"/>
    <w:rsid w:val="00781015"/>
    <w:rsid w:val="00787132"/>
    <w:rsid w:val="007900FC"/>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F136D"/>
    <w:rsid w:val="007F60CB"/>
    <w:rsid w:val="00801AAB"/>
    <w:rsid w:val="0080773A"/>
    <w:rsid w:val="00812700"/>
    <w:rsid w:val="0081788D"/>
    <w:rsid w:val="00825398"/>
    <w:rsid w:val="008263AE"/>
    <w:rsid w:val="008318C0"/>
    <w:rsid w:val="00831A29"/>
    <w:rsid w:val="00832B61"/>
    <w:rsid w:val="00834CAD"/>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2E2E"/>
    <w:rsid w:val="008E4CD7"/>
    <w:rsid w:val="008E58F7"/>
    <w:rsid w:val="008E6EC1"/>
    <w:rsid w:val="008F3DFA"/>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095F"/>
    <w:rsid w:val="00986792"/>
    <w:rsid w:val="009871EF"/>
    <w:rsid w:val="00991292"/>
    <w:rsid w:val="00991AEE"/>
    <w:rsid w:val="0099252E"/>
    <w:rsid w:val="00992A28"/>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C260A"/>
    <w:rsid w:val="00AD18DD"/>
    <w:rsid w:val="00AD562B"/>
    <w:rsid w:val="00AD7A8E"/>
    <w:rsid w:val="00AE3F47"/>
    <w:rsid w:val="00AE3F77"/>
    <w:rsid w:val="00AE69BF"/>
    <w:rsid w:val="00AF0E8B"/>
    <w:rsid w:val="00AF7347"/>
    <w:rsid w:val="00B014DF"/>
    <w:rsid w:val="00B0625A"/>
    <w:rsid w:val="00B11B77"/>
    <w:rsid w:val="00B12AB0"/>
    <w:rsid w:val="00B16987"/>
    <w:rsid w:val="00B16EB0"/>
    <w:rsid w:val="00B17EF5"/>
    <w:rsid w:val="00B2068A"/>
    <w:rsid w:val="00B23F95"/>
    <w:rsid w:val="00B25BAB"/>
    <w:rsid w:val="00B26285"/>
    <w:rsid w:val="00B33F4A"/>
    <w:rsid w:val="00B41297"/>
    <w:rsid w:val="00B504F2"/>
    <w:rsid w:val="00B50694"/>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2913"/>
    <w:rsid w:val="00C84743"/>
    <w:rsid w:val="00C86E10"/>
    <w:rsid w:val="00C9160A"/>
    <w:rsid w:val="00C91F16"/>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494C"/>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967FD"/>
    <w:rsid w:val="00EA253B"/>
    <w:rsid w:val="00EA6F84"/>
    <w:rsid w:val="00EB7931"/>
    <w:rsid w:val="00ED548C"/>
    <w:rsid w:val="00ED7F3F"/>
    <w:rsid w:val="00EF043C"/>
    <w:rsid w:val="00EF0594"/>
    <w:rsid w:val="00EF49B3"/>
    <w:rsid w:val="00EF56E1"/>
    <w:rsid w:val="00EF73FD"/>
    <w:rsid w:val="00F00561"/>
    <w:rsid w:val="00F01150"/>
    <w:rsid w:val="00F01331"/>
    <w:rsid w:val="00F01E3D"/>
    <w:rsid w:val="00F04DC2"/>
    <w:rsid w:val="00F066D9"/>
    <w:rsid w:val="00F25F52"/>
    <w:rsid w:val="00F26E5A"/>
    <w:rsid w:val="00F31225"/>
    <w:rsid w:val="00F41CF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8133574"/>
    <w:rsid w:val="336D041F"/>
    <w:rsid w:val="53082135"/>
    <w:rsid w:val="71DA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4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3494C"/>
    <w:pPr>
      <w:jc w:val="left"/>
    </w:pPr>
  </w:style>
  <w:style w:type="paragraph" w:styleId="a4">
    <w:name w:val="Balloon Text"/>
    <w:basedOn w:val="a"/>
    <w:link w:val="Char0"/>
    <w:uiPriority w:val="99"/>
    <w:semiHidden/>
    <w:unhideWhenUsed/>
    <w:qFormat/>
    <w:rsid w:val="00D3494C"/>
    <w:rPr>
      <w:sz w:val="18"/>
      <w:szCs w:val="18"/>
    </w:rPr>
  </w:style>
  <w:style w:type="paragraph" w:styleId="a5">
    <w:name w:val="footer"/>
    <w:basedOn w:val="a"/>
    <w:link w:val="Char1"/>
    <w:uiPriority w:val="99"/>
    <w:unhideWhenUsed/>
    <w:qFormat/>
    <w:rsid w:val="00D3494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3494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D3494C"/>
    <w:pPr>
      <w:snapToGrid w:val="0"/>
      <w:jc w:val="left"/>
    </w:pPr>
    <w:rPr>
      <w:sz w:val="18"/>
      <w:szCs w:val="18"/>
    </w:rPr>
  </w:style>
  <w:style w:type="paragraph" w:styleId="a8">
    <w:name w:val="annotation subject"/>
    <w:basedOn w:val="a3"/>
    <w:next w:val="a3"/>
    <w:link w:val="Char4"/>
    <w:uiPriority w:val="99"/>
    <w:semiHidden/>
    <w:unhideWhenUsed/>
    <w:qFormat/>
    <w:rsid w:val="00D3494C"/>
    <w:rPr>
      <w:b/>
      <w:bCs/>
    </w:rPr>
  </w:style>
  <w:style w:type="character" w:styleId="a9">
    <w:name w:val="Hyperlink"/>
    <w:basedOn w:val="a0"/>
    <w:uiPriority w:val="99"/>
    <w:unhideWhenUsed/>
    <w:qFormat/>
    <w:rsid w:val="00D3494C"/>
    <w:rPr>
      <w:color w:val="0000FF" w:themeColor="hyperlink"/>
      <w:u w:val="single"/>
    </w:rPr>
  </w:style>
  <w:style w:type="character" w:styleId="aa">
    <w:name w:val="annotation reference"/>
    <w:basedOn w:val="a0"/>
    <w:uiPriority w:val="99"/>
    <w:semiHidden/>
    <w:unhideWhenUsed/>
    <w:qFormat/>
    <w:rsid w:val="00D3494C"/>
    <w:rPr>
      <w:sz w:val="21"/>
      <w:szCs w:val="21"/>
    </w:rPr>
  </w:style>
  <w:style w:type="character" w:styleId="ab">
    <w:name w:val="footnote reference"/>
    <w:basedOn w:val="a0"/>
    <w:uiPriority w:val="99"/>
    <w:semiHidden/>
    <w:unhideWhenUsed/>
    <w:qFormat/>
    <w:rsid w:val="00D3494C"/>
    <w:rPr>
      <w:vertAlign w:val="superscript"/>
    </w:rPr>
  </w:style>
  <w:style w:type="character" w:customStyle="1" w:styleId="Char2">
    <w:name w:val="页眉 Char"/>
    <w:basedOn w:val="a0"/>
    <w:link w:val="a6"/>
    <w:uiPriority w:val="99"/>
    <w:qFormat/>
    <w:rsid w:val="00D3494C"/>
    <w:rPr>
      <w:sz w:val="18"/>
      <w:szCs w:val="18"/>
    </w:rPr>
  </w:style>
  <w:style w:type="character" w:customStyle="1" w:styleId="Char1">
    <w:name w:val="页脚 Char"/>
    <w:basedOn w:val="a0"/>
    <w:link w:val="a5"/>
    <w:uiPriority w:val="99"/>
    <w:qFormat/>
    <w:rsid w:val="00D3494C"/>
    <w:rPr>
      <w:sz w:val="18"/>
      <w:szCs w:val="18"/>
    </w:rPr>
  </w:style>
  <w:style w:type="paragraph" w:styleId="ac">
    <w:name w:val="List Paragraph"/>
    <w:basedOn w:val="a"/>
    <w:uiPriority w:val="34"/>
    <w:qFormat/>
    <w:rsid w:val="00D3494C"/>
    <w:pPr>
      <w:ind w:firstLineChars="200" w:firstLine="420"/>
    </w:pPr>
  </w:style>
  <w:style w:type="character" w:customStyle="1" w:styleId="Char0">
    <w:name w:val="批注框文本 Char"/>
    <w:basedOn w:val="a0"/>
    <w:link w:val="a4"/>
    <w:uiPriority w:val="99"/>
    <w:semiHidden/>
    <w:qFormat/>
    <w:rsid w:val="00D3494C"/>
    <w:rPr>
      <w:sz w:val="18"/>
      <w:szCs w:val="18"/>
    </w:rPr>
  </w:style>
  <w:style w:type="character" w:customStyle="1" w:styleId="Char">
    <w:name w:val="批注文字 Char"/>
    <w:basedOn w:val="a0"/>
    <w:link w:val="a3"/>
    <w:uiPriority w:val="99"/>
    <w:semiHidden/>
    <w:qFormat/>
    <w:rsid w:val="00D3494C"/>
  </w:style>
  <w:style w:type="character" w:customStyle="1" w:styleId="Char4">
    <w:name w:val="批注主题 Char"/>
    <w:basedOn w:val="Char"/>
    <w:link w:val="a8"/>
    <w:uiPriority w:val="99"/>
    <w:semiHidden/>
    <w:qFormat/>
    <w:rsid w:val="00D3494C"/>
    <w:rPr>
      <w:b/>
      <w:bCs/>
    </w:rPr>
  </w:style>
  <w:style w:type="character" w:customStyle="1" w:styleId="Char3">
    <w:name w:val="脚注文本 Char"/>
    <w:basedOn w:val="a0"/>
    <w:link w:val="a7"/>
    <w:uiPriority w:val="99"/>
    <w:semiHidden/>
    <w:qFormat/>
    <w:rsid w:val="00D3494C"/>
    <w:rPr>
      <w:sz w:val="18"/>
      <w:szCs w:val="18"/>
    </w:rPr>
  </w:style>
</w:styles>
</file>

<file path=word/webSettings.xml><?xml version="1.0" encoding="utf-8"?>
<w:webSettings xmlns:r="http://schemas.openxmlformats.org/officeDocument/2006/relationships" xmlns:w="http://schemas.openxmlformats.org/wordprocessingml/2006/main">
  <w:divs>
    <w:div w:id="107746392">
      <w:bodyDiv w:val="1"/>
      <w:marLeft w:val="0"/>
      <w:marRight w:val="0"/>
      <w:marTop w:val="0"/>
      <w:marBottom w:val="0"/>
      <w:divBdr>
        <w:top w:val="none" w:sz="0" w:space="0" w:color="auto"/>
        <w:left w:val="none" w:sz="0" w:space="0" w:color="auto"/>
        <w:bottom w:val="none" w:sz="0" w:space="0" w:color="auto"/>
        <w:right w:val="none" w:sz="0" w:space="0" w:color="auto"/>
      </w:divBdr>
    </w:div>
    <w:div w:id="578172587">
      <w:bodyDiv w:val="1"/>
      <w:marLeft w:val="0"/>
      <w:marRight w:val="0"/>
      <w:marTop w:val="0"/>
      <w:marBottom w:val="0"/>
      <w:divBdr>
        <w:top w:val="none" w:sz="0" w:space="0" w:color="auto"/>
        <w:left w:val="none" w:sz="0" w:space="0" w:color="auto"/>
        <w:bottom w:val="none" w:sz="0" w:space="0" w:color="auto"/>
        <w:right w:val="none" w:sz="0" w:space="0" w:color="auto"/>
      </w:divBdr>
    </w:div>
    <w:div w:id="717440610">
      <w:bodyDiv w:val="1"/>
      <w:marLeft w:val="0"/>
      <w:marRight w:val="0"/>
      <w:marTop w:val="0"/>
      <w:marBottom w:val="0"/>
      <w:divBdr>
        <w:top w:val="none" w:sz="0" w:space="0" w:color="auto"/>
        <w:left w:val="none" w:sz="0" w:space="0" w:color="auto"/>
        <w:bottom w:val="none" w:sz="0" w:space="0" w:color="auto"/>
        <w:right w:val="none" w:sz="0" w:space="0" w:color="auto"/>
      </w:divBdr>
    </w:div>
    <w:div w:id="1062098814">
      <w:bodyDiv w:val="1"/>
      <w:marLeft w:val="0"/>
      <w:marRight w:val="0"/>
      <w:marTop w:val="0"/>
      <w:marBottom w:val="0"/>
      <w:divBdr>
        <w:top w:val="none" w:sz="0" w:space="0" w:color="auto"/>
        <w:left w:val="none" w:sz="0" w:space="0" w:color="auto"/>
        <w:bottom w:val="none" w:sz="0" w:space="0" w:color="auto"/>
        <w:right w:val="none" w:sz="0" w:space="0" w:color="auto"/>
      </w:divBdr>
    </w:div>
    <w:div w:id="1197964493">
      <w:bodyDiv w:val="1"/>
      <w:marLeft w:val="0"/>
      <w:marRight w:val="0"/>
      <w:marTop w:val="0"/>
      <w:marBottom w:val="0"/>
      <w:divBdr>
        <w:top w:val="none" w:sz="0" w:space="0" w:color="auto"/>
        <w:left w:val="none" w:sz="0" w:space="0" w:color="auto"/>
        <w:bottom w:val="none" w:sz="0" w:space="0" w:color="auto"/>
        <w:right w:val="none" w:sz="0" w:space="0" w:color="auto"/>
      </w:divBdr>
    </w:div>
    <w:div w:id="1704208641">
      <w:bodyDiv w:val="1"/>
      <w:marLeft w:val="0"/>
      <w:marRight w:val="0"/>
      <w:marTop w:val="0"/>
      <w:marBottom w:val="0"/>
      <w:divBdr>
        <w:top w:val="none" w:sz="0" w:space="0" w:color="auto"/>
        <w:left w:val="none" w:sz="0" w:space="0" w:color="auto"/>
        <w:bottom w:val="none" w:sz="0" w:space="0" w:color="auto"/>
        <w:right w:val="none" w:sz="0" w:space="0" w:color="auto"/>
      </w:divBdr>
    </w:div>
    <w:div w:id="1732189532">
      <w:bodyDiv w:val="1"/>
      <w:marLeft w:val="0"/>
      <w:marRight w:val="0"/>
      <w:marTop w:val="0"/>
      <w:marBottom w:val="0"/>
      <w:divBdr>
        <w:top w:val="none" w:sz="0" w:space="0" w:color="auto"/>
        <w:left w:val="none" w:sz="0" w:space="0" w:color="auto"/>
        <w:bottom w:val="none" w:sz="0" w:space="0" w:color="auto"/>
        <w:right w:val="none" w:sz="0" w:space="0" w:color="auto"/>
      </w:divBdr>
    </w:div>
    <w:div w:id="1876696356">
      <w:bodyDiv w:val="1"/>
      <w:marLeft w:val="0"/>
      <w:marRight w:val="0"/>
      <w:marTop w:val="0"/>
      <w:marBottom w:val="0"/>
      <w:divBdr>
        <w:top w:val="none" w:sz="0" w:space="0" w:color="auto"/>
        <w:left w:val="none" w:sz="0" w:space="0" w:color="auto"/>
        <w:bottom w:val="none" w:sz="0" w:space="0" w:color="auto"/>
        <w:right w:val="none" w:sz="0" w:space="0" w:color="auto"/>
      </w:divBdr>
    </w:div>
    <w:div w:id="1918779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CAA6-89B8-4E7D-BD2C-10301E3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6687</Characters>
  <Application>Microsoft Office Word</Application>
  <DocSecurity>4</DocSecurity>
  <Lines>55</Lines>
  <Paragraphs>15</Paragraphs>
  <ScaleCrop>false</ScaleCrop>
  <Company>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2023-10-24T16:06:00Z</dcterms:created>
  <dcterms:modified xsi:type="dcterms:W3CDTF">2023-10-24T16:06:00Z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624C248849F84BC6818D211F46304750</vt:lpwstr>
  </property>
</Properties>
</file>