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0F" w:rsidRDefault="00600BDB">
      <w:pPr>
        <w:autoSpaceDE w:val="0"/>
        <w:autoSpaceDN w:val="0"/>
        <w:adjustRightInd w:val="0"/>
        <w:spacing w:before="30" w:line="360" w:lineRule="auto"/>
        <w:ind w:left="15"/>
        <w:jc w:val="center"/>
        <w:rPr>
          <w:rFonts w:ascii="Arial" w:hAnsi="宋体" w:cs="Arial"/>
          <w:b/>
          <w:bCs/>
          <w:color w:val="000000"/>
          <w:sz w:val="30"/>
          <w:szCs w:val="30"/>
        </w:rPr>
      </w:pPr>
      <w:r>
        <w:rPr>
          <w:rFonts w:ascii="Arial" w:hAnsi="宋体" w:cs="Arial" w:hint="eastAsia"/>
          <w:b/>
          <w:bCs/>
          <w:color w:val="000000"/>
          <w:sz w:val="30"/>
          <w:szCs w:val="30"/>
        </w:rPr>
        <w:t>财通资管鑫盛</w:t>
      </w:r>
      <w:r>
        <w:rPr>
          <w:rFonts w:ascii="Arial" w:hAnsi="宋体" w:cs="Arial" w:hint="eastAsia"/>
          <w:b/>
          <w:bCs/>
          <w:color w:val="000000"/>
          <w:sz w:val="30"/>
          <w:szCs w:val="30"/>
        </w:rPr>
        <w:t>6</w:t>
      </w:r>
      <w:r>
        <w:rPr>
          <w:rFonts w:ascii="Arial" w:hAnsi="宋体" w:cs="Arial" w:hint="eastAsia"/>
          <w:b/>
          <w:bCs/>
          <w:color w:val="000000"/>
          <w:sz w:val="30"/>
          <w:szCs w:val="30"/>
        </w:rPr>
        <w:t>个月定期开放混合型证券投资基金</w:t>
      </w:r>
    </w:p>
    <w:p w:rsidR="005E0B0F" w:rsidRDefault="00600BDB">
      <w:pPr>
        <w:autoSpaceDE w:val="0"/>
        <w:autoSpaceDN w:val="0"/>
        <w:adjustRightInd w:val="0"/>
        <w:spacing w:before="30" w:line="360" w:lineRule="auto"/>
        <w:ind w:left="15"/>
        <w:jc w:val="center"/>
        <w:rPr>
          <w:rFonts w:ascii="Arial" w:hAnsi="宋体" w:cs="Arial"/>
          <w:b/>
          <w:bCs/>
          <w:color w:val="000000"/>
          <w:sz w:val="30"/>
          <w:szCs w:val="30"/>
        </w:rPr>
      </w:pPr>
      <w:r>
        <w:rPr>
          <w:rFonts w:ascii="Arial" w:hAnsi="宋体" w:cs="Arial" w:hint="eastAsia"/>
          <w:b/>
          <w:bCs/>
          <w:color w:val="000000"/>
          <w:sz w:val="30"/>
          <w:szCs w:val="30"/>
        </w:rPr>
        <w:t>开放申购、赎回业务公告</w:t>
      </w:r>
    </w:p>
    <w:p w:rsidR="005E0B0F" w:rsidRDefault="00600BDB">
      <w:pPr>
        <w:autoSpaceDE w:val="0"/>
        <w:autoSpaceDN w:val="0"/>
        <w:adjustRightInd w:val="0"/>
        <w:spacing w:before="30" w:line="360" w:lineRule="auto"/>
        <w:ind w:left="15"/>
        <w:jc w:val="center"/>
        <w:rPr>
          <w:rFonts w:ascii="Arial" w:hAnsi="宋体" w:cs="Arial"/>
          <w:b/>
          <w:sz w:val="24"/>
          <w:szCs w:val="24"/>
        </w:rPr>
      </w:pPr>
      <w:r>
        <w:rPr>
          <w:rFonts w:ascii="Arial" w:hAnsi="宋体" w:cs="Arial" w:hint="eastAsia"/>
          <w:b/>
          <w:sz w:val="24"/>
          <w:szCs w:val="24"/>
        </w:rPr>
        <w:t>公告送出日期：</w:t>
      </w:r>
      <w:r>
        <w:rPr>
          <w:rFonts w:ascii="Arial" w:hAnsi="宋体" w:cs="Arial"/>
          <w:b/>
          <w:sz w:val="24"/>
          <w:szCs w:val="24"/>
        </w:rPr>
        <w:t>20</w:t>
      </w:r>
      <w:r>
        <w:rPr>
          <w:rFonts w:ascii="Arial" w:hAnsi="宋体" w:cs="Arial" w:hint="eastAsia"/>
          <w:b/>
          <w:sz w:val="24"/>
          <w:szCs w:val="24"/>
        </w:rPr>
        <w:t>2</w:t>
      </w:r>
      <w:r>
        <w:rPr>
          <w:rFonts w:ascii="Arial" w:hAnsi="宋体" w:cs="Arial"/>
          <w:b/>
          <w:sz w:val="24"/>
          <w:szCs w:val="24"/>
        </w:rPr>
        <w:t>3</w:t>
      </w:r>
      <w:r>
        <w:rPr>
          <w:rFonts w:ascii="Arial" w:hAnsi="宋体" w:cs="Arial" w:hint="eastAsia"/>
          <w:b/>
          <w:sz w:val="24"/>
          <w:szCs w:val="24"/>
        </w:rPr>
        <w:t>年</w:t>
      </w:r>
      <w:r>
        <w:rPr>
          <w:rFonts w:ascii="Arial" w:hAnsi="宋体" w:cs="Arial"/>
          <w:b/>
          <w:sz w:val="24"/>
          <w:szCs w:val="24"/>
        </w:rPr>
        <w:t>10</w:t>
      </w:r>
      <w:r>
        <w:rPr>
          <w:rFonts w:ascii="Arial" w:hAnsi="宋体" w:cs="Arial" w:hint="eastAsia"/>
          <w:b/>
          <w:sz w:val="24"/>
          <w:szCs w:val="24"/>
        </w:rPr>
        <w:t>月</w:t>
      </w:r>
      <w:r>
        <w:rPr>
          <w:rFonts w:ascii="Arial" w:hAnsi="宋体" w:cs="Arial"/>
          <w:b/>
          <w:sz w:val="24"/>
          <w:szCs w:val="24"/>
        </w:rPr>
        <w:t>2</w:t>
      </w:r>
      <w:r w:rsidR="00D0271C">
        <w:rPr>
          <w:rFonts w:ascii="Arial" w:hAnsi="宋体" w:cs="Arial"/>
          <w:b/>
          <w:sz w:val="24"/>
          <w:szCs w:val="24"/>
        </w:rPr>
        <w:t>5</w:t>
      </w:r>
      <w:r>
        <w:rPr>
          <w:rFonts w:ascii="Arial" w:hAnsi="宋体" w:cs="Arial" w:hint="eastAsia"/>
          <w:b/>
          <w:sz w:val="24"/>
          <w:szCs w:val="24"/>
        </w:rPr>
        <w:t>日</w:t>
      </w:r>
    </w:p>
    <w:p w:rsidR="005E0B0F" w:rsidRDefault="005E0B0F">
      <w:pPr>
        <w:autoSpaceDE w:val="0"/>
        <w:autoSpaceDN w:val="0"/>
        <w:adjustRightInd w:val="0"/>
        <w:spacing w:before="30" w:line="360" w:lineRule="auto"/>
        <w:ind w:left="15"/>
        <w:jc w:val="left"/>
        <w:rPr>
          <w:rFonts w:ascii="Times New Roman" w:hAnsi="Times New Roman" w:cs="Times New Roman"/>
          <w:b/>
          <w:bCs/>
          <w:color w:val="000000"/>
          <w:kern w:val="0"/>
        </w:rPr>
      </w:pPr>
    </w:p>
    <w:p w:rsidR="005E0B0F" w:rsidRDefault="00600BDB">
      <w:pPr>
        <w:autoSpaceDE w:val="0"/>
        <w:autoSpaceDN w:val="0"/>
        <w:adjustRightInd w:val="0"/>
        <w:spacing w:before="30" w:line="360" w:lineRule="auto"/>
        <w:ind w:left="15"/>
        <w:jc w:val="left"/>
        <w:rPr>
          <w:rFonts w:ascii="Times New Roman" w:hAnsi="Times New Roman" w:cs="Times New Roman"/>
          <w:b/>
          <w:bCs/>
          <w:color w:val="000000"/>
          <w:kern w:val="0"/>
        </w:rPr>
      </w:pPr>
      <w:r>
        <w:rPr>
          <w:rFonts w:ascii="Times New Roman" w:hAnsi="Times New Roman" w:cs="Times New Roman"/>
          <w:b/>
          <w:bCs/>
          <w:color w:val="000000"/>
          <w:kern w:val="0"/>
        </w:rPr>
        <w:t xml:space="preserve">1 </w:t>
      </w:r>
      <w:r>
        <w:rPr>
          <w:rFonts w:ascii="Times New Roman" w:hAnsi="Times New Roman" w:hint="eastAsia"/>
          <w:b/>
          <w:bCs/>
          <w:color w:val="000000"/>
          <w:kern w:val="0"/>
        </w:rPr>
        <w:t>公告基本信息</w:t>
      </w:r>
    </w:p>
    <w:tbl>
      <w:tblPr>
        <w:tblW w:w="9030" w:type="dxa"/>
        <w:tblInd w:w="108" w:type="dxa"/>
        <w:tblLayout w:type="fixed"/>
        <w:tblLook w:val="04A0"/>
      </w:tblPr>
      <w:tblGrid>
        <w:gridCol w:w="3544"/>
        <w:gridCol w:w="5486"/>
      </w:tblGrid>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基金名称</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cs="Times New Roman" w:hint="eastAsia"/>
                <w:color w:val="000000"/>
                <w:kern w:val="0"/>
              </w:rPr>
              <w:t>财通资管鑫盛</w:t>
            </w:r>
            <w:r>
              <w:rPr>
                <w:rFonts w:ascii="Times New Roman" w:hAnsi="Times New Roman" w:cs="Times New Roman" w:hint="eastAsia"/>
                <w:color w:val="000000"/>
                <w:kern w:val="0"/>
              </w:rPr>
              <w:t>6</w:t>
            </w:r>
            <w:r>
              <w:rPr>
                <w:rFonts w:ascii="Times New Roman" w:hAnsi="Times New Roman" w:cs="Times New Roman" w:hint="eastAsia"/>
                <w:color w:val="000000"/>
                <w:kern w:val="0"/>
              </w:rPr>
              <w:t>个月定期开放混合型证券投资基金</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基金简称</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jc w:val="left"/>
              <w:rPr>
                <w:rFonts w:ascii="Times New Roman" w:hAnsi="Times New Roman" w:cs="Times New Roman"/>
                <w:color w:val="000000"/>
                <w:kern w:val="0"/>
              </w:rPr>
            </w:pPr>
            <w:r>
              <w:rPr>
                <w:rFonts w:ascii="Times New Roman" w:hAnsi="Times New Roman" w:cs="Times New Roman" w:hint="eastAsia"/>
                <w:color w:val="000000"/>
                <w:kern w:val="0"/>
              </w:rPr>
              <w:t>财通资管鑫盛</w:t>
            </w:r>
            <w:r>
              <w:rPr>
                <w:rFonts w:ascii="Times New Roman" w:hAnsi="Times New Roman" w:cs="Times New Roman" w:hint="eastAsia"/>
                <w:color w:val="000000"/>
                <w:kern w:val="0"/>
              </w:rPr>
              <w:t>6</w:t>
            </w:r>
            <w:r>
              <w:rPr>
                <w:rFonts w:ascii="Times New Roman" w:hAnsi="Times New Roman" w:cs="Times New Roman" w:hint="eastAsia"/>
                <w:color w:val="000000"/>
                <w:kern w:val="0"/>
              </w:rPr>
              <w:t>个月定开混合</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基金主代码</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cs="Times New Roman"/>
                <w:color w:val="000000"/>
                <w:kern w:val="0"/>
              </w:rPr>
              <w:t>005679</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基金运作方式</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cs="Times New Roman" w:hint="eastAsia"/>
                <w:color w:val="000000"/>
                <w:kern w:val="0"/>
              </w:rPr>
              <w:t>契约型、定期开放式</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olor w:val="000000"/>
                <w:kern w:val="0"/>
              </w:rPr>
            </w:pPr>
            <w:r>
              <w:rPr>
                <w:rFonts w:ascii="Times New Roman" w:hAnsi="Times New Roman" w:hint="eastAsia"/>
                <w:color w:val="000000"/>
                <w:kern w:val="0"/>
              </w:rPr>
              <w:t>基金合同生效日</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cs="Times New Roman" w:hint="eastAsia"/>
                <w:color w:val="000000"/>
                <w:kern w:val="0"/>
              </w:rPr>
              <w:t>2018</w:t>
            </w:r>
            <w:r>
              <w:rPr>
                <w:rFonts w:ascii="Times New Roman" w:hAnsi="Times New Roman" w:cs="Times New Roman" w:hint="eastAsia"/>
                <w:color w:val="000000"/>
                <w:kern w:val="0"/>
              </w:rPr>
              <w:t>年</w:t>
            </w:r>
            <w:r>
              <w:rPr>
                <w:rFonts w:ascii="Times New Roman" w:hAnsi="Times New Roman" w:cs="Times New Roman" w:hint="eastAsia"/>
                <w:color w:val="000000"/>
                <w:kern w:val="0"/>
              </w:rPr>
              <w:t>5</w:t>
            </w:r>
            <w:r>
              <w:rPr>
                <w:rFonts w:ascii="Times New Roman" w:hAnsi="Times New Roman" w:cs="Times New Roman" w:hint="eastAsia"/>
                <w:color w:val="000000"/>
                <w:kern w:val="0"/>
              </w:rPr>
              <w:t>月</w:t>
            </w:r>
            <w:r>
              <w:rPr>
                <w:rFonts w:ascii="Times New Roman" w:hAnsi="Times New Roman" w:cs="Times New Roman" w:hint="eastAsia"/>
                <w:color w:val="000000"/>
                <w:kern w:val="0"/>
              </w:rPr>
              <w:t>22</w:t>
            </w:r>
            <w:r>
              <w:rPr>
                <w:rFonts w:ascii="Times New Roman" w:hAnsi="Times New Roman" w:cs="Times New Roman" w:hint="eastAsia"/>
                <w:color w:val="000000"/>
                <w:kern w:val="0"/>
              </w:rPr>
              <w:t>日</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基金管理人名称</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财通证券资产管理有限公司</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基金托管人名称</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兴业银行股份有限公司</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基金注册登记机构名称</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line="360" w:lineRule="auto"/>
              <w:jc w:val="left"/>
              <w:rPr>
                <w:rFonts w:ascii="Times New Roman" w:hAnsi="Times New Roman" w:cs="Times New Roman"/>
                <w:color w:val="FF0000"/>
                <w:kern w:val="0"/>
              </w:rPr>
            </w:pPr>
            <w:r>
              <w:rPr>
                <w:rFonts w:ascii="Times New Roman" w:hAnsi="Times New Roman" w:hint="eastAsia"/>
                <w:color w:val="000000"/>
                <w:kern w:val="0"/>
              </w:rPr>
              <w:t>财通证券资产管理有限公司</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公告依据</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line="360" w:lineRule="auto"/>
              <w:jc w:val="left"/>
              <w:rPr>
                <w:rFonts w:ascii="Times New Roman" w:hAnsi="Times New Roman" w:cs="Times New Roman"/>
                <w:color w:val="000000"/>
                <w:kern w:val="0"/>
              </w:rPr>
            </w:pPr>
            <w:r>
              <w:rPr>
                <w:rFonts w:ascii="Times New Roman" w:hAnsi="Times New Roman" w:hint="eastAsia"/>
                <w:color w:val="000000"/>
                <w:kern w:val="0"/>
              </w:rPr>
              <w:t>《财通资管鑫盛</w:t>
            </w:r>
            <w:r>
              <w:rPr>
                <w:rFonts w:ascii="Times New Roman" w:hAnsi="Times New Roman" w:hint="eastAsia"/>
                <w:color w:val="000000"/>
                <w:kern w:val="0"/>
              </w:rPr>
              <w:t>6</w:t>
            </w:r>
            <w:r>
              <w:rPr>
                <w:rFonts w:ascii="Times New Roman" w:hAnsi="Times New Roman" w:hint="eastAsia"/>
                <w:color w:val="000000"/>
                <w:kern w:val="0"/>
              </w:rPr>
              <w:t>个月定期开放混合型证券投资基金基金合同》、《财通资管鑫盛</w:t>
            </w:r>
            <w:r>
              <w:rPr>
                <w:rFonts w:ascii="Times New Roman" w:hAnsi="Times New Roman" w:hint="eastAsia"/>
                <w:color w:val="000000"/>
                <w:kern w:val="0"/>
              </w:rPr>
              <w:t>6</w:t>
            </w:r>
            <w:r>
              <w:rPr>
                <w:rFonts w:ascii="Times New Roman" w:hAnsi="Times New Roman" w:hint="eastAsia"/>
                <w:color w:val="000000"/>
                <w:kern w:val="0"/>
              </w:rPr>
              <w:t>个月定期开放混合型证券投资基金招募说明书》等</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申购起始日</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line="360" w:lineRule="auto"/>
              <w:jc w:val="left"/>
              <w:rPr>
                <w:rFonts w:ascii="Times New Roman" w:hAnsi="Times New Roman"/>
                <w:color w:val="000000"/>
                <w:kern w:val="0"/>
              </w:rPr>
            </w:pPr>
            <w:r>
              <w:rPr>
                <w:rFonts w:ascii="Times New Roman" w:hAnsi="Times New Roman" w:hint="eastAsia"/>
                <w:color w:val="000000"/>
                <w:kern w:val="0"/>
              </w:rPr>
              <w:t>202</w:t>
            </w:r>
            <w:r>
              <w:rPr>
                <w:rFonts w:ascii="Times New Roman" w:hAnsi="Times New Roman"/>
                <w:color w:val="000000"/>
                <w:kern w:val="0"/>
              </w:rPr>
              <w:t>3</w:t>
            </w:r>
            <w:r>
              <w:rPr>
                <w:rFonts w:ascii="Times New Roman" w:hAnsi="Times New Roman" w:hint="eastAsia"/>
                <w:color w:val="000000"/>
                <w:kern w:val="0"/>
              </w:rPr>
              <w:t>年</w:t>
            </w:r>
            <w:r>
              <w:rPr>
                <w:rFonts w:ascii="Times New Roman" w:hAnsi="Times New Roman"/>
                <w:color w:val="000000"/>
                <w:kern w:val="0"/>
              </w:rPr>
              <w:t>10</w:t>
            </w:r>
            <w:r>
              <w:rPr>
                <w:rFonts w:ascii="Times New Roman" w:hAnsi="Times New Roman" w:hint="eastAsia"/>
                <w:color w:val="000000"/>
                <w:kern w:val="0"/>
              </w:rPr>
              <w:t>月</w:t>
            </w:r>
            <w:r>
              <w:rPr>
                <w:rFonts w:ascii="Times New Roman" w:hAnsi="Times New Roman"/>
                <w:color w:val="000000"/>
                <w:kern w:val="0"/>
              </w:rPr>
              <w:t>30</w:t>
            </w:r>
            <w:r>
              <w:rPr>
                <w:rFonts w:ascii="Times New Roman" w:hAnsi="Times New Roman" w:hint="eastAsia"/>
                <w:color w:val="000000"/>
                <w:kern w:val="0"/>
              </w:rPr>
              <w:t>日</w:t>
            </w:r>
          </w:p>
        </w:tc>
      </w:tr>
      <w:tr w:rsidR="005E0B0F">
        <w:tc>
          <w:tcPr>
            <w:tcW w:w="3544"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赎回起始日</w:t>
            </w:r>
          </w:p>
        </w:tc>
        <w:tc>
          <w:tcPr>
            <w:tcW w:w="5486" w:type="dxa"/>
            <w:tcBorders>
              <w:top w:val="single" w:sz="8" w:space="0" w:color="000000"/>
              <w:left w:val="single" w:sz="8" w:space="0" w:color="000000"/>
              <w:bottom w:val="single" w:sz="8" w:space="0" w:color="000000"/>
              <w:right w:val="single" w:sz="8" w:space="0" w:color="000000"/>
            </w:tcBorders>
            <w:vAlign w:val="center"/>
          </w:tcPr>
          <w:p w:rsidR="005E0B0F" w:rsidRDefault="00600BDB">
            <w:pPr>
              <w:autoSpaceDE w:val="0"/>
              <w:autoSpaceDN w:val="0"/>
              <w:adjustRightInd w:val="0"/>
              <w:spacing w:line="360" w:lineRule="auto"/>
              <w:jc w:val="left"/>
              <w:rPr>
                <w:rFonts w:ascii="Times New Roman" w:hAnsi="Times New Roman"/>
                <w:color w:val="000000"/>
                <w:kern w:val="0"/>
              </w:rPr>
            </w:pPr>
            <w:r>
              <w:rPr>
                <w:rFonts w:ascii="Times New Roman" w:hAnsi="Times New Roman" w:hint="eastAsia"/>
                <w:color w:val="000000"/>
                <w:kern w:val="0"/>
              </w:rPr>
              <w:t>202</w:t>
            </w:r>
            <w:r>
              <w:rPr>
                <w:rFonts w:ascii="Times New Roman" w:hAnsi="Times New Roman"/>
                <w:color w:val="000000"/>
                <w:kern w:val="0"/>
              </w:rPr>
              <w:t>3</w:t>
            </w:r>
            <w:r>
              <w:rPr>
                <w:rFonts w:ascii="Times New Roman" w:hAnsi="Times New Roman" w:hint="eastAsia"/>
                <w:color w:val="000000"/>
                <w:kern w:val="0"/>
              </w:rPr>
              <w:t>年</w:t>
            </w:r>
            <w:r>
              <w:rPr>
                <w:rFonts w:ascii="Times New Roman" w:hAnsi="Times New Roman"/>
                <w:color w:val="000000"/>
                <w:kern w:val="0"/>
              </w:rPr>
              <w:t>10</w:t>
            </w:r>
            <w:r>
              <w:rPr>
                <w:rFonts w:ascii="Times New Roman" w:hAnsi="Times New Roman" w:hint="eastAsia"/>
                <w:color w:val="000000"/>
                <w:kern w:val="0"/>
              </w:rPr>
              <w:t>月</w:t>
            </w:r>
            <w:r>
              <w:rPr>
                <w:rFonts w:ascii="Times New Roman" w:hAnsi="Times New Roman"/>
                <w:color w:val="000000"/>
                <w:kern w:val="0"/>
              </w:rPr>
              <w:t>30</w:t>
            </w:r>
            <w:r>
              <w:rPr>
                <w:rFonts w:ascii="Times New Roman" w:hAnsi="Times New Roman" w:hint="eastAsia"/>
                <w:color w:val="000000"/>
                <w:kern w:val="0"/>
              </w:rPr>
              <w:t>日</w:t>
            </w:r>
          </w:p>
        </w:tc>
      </w:tr>
    </w:tbl>
    <w:p w:rsidR="005E0B0F" w:rsidRDefault="005E0B0F">
      <w:pPr>
        <w:autoSpaceDE w:val="0"/>
        <w:autoSpaceDN w:val="0"/>
        <w:adjustRightInd w:val="0"/>
        <w:spacing w:line="360" w:lineRule="auto"/>
        <w:jc w:val="left"/>
        <w:rPr>
          <w:rFonts w:ascii="Times New Roman" w:hAnsi="Times New Roman" w:cs="Times New Roman"/>
          <w:color w:val="000000"/>
          <w:kern w:val="0"/>
        </w:rPr>
      </w:pPr>
    </w:p>
    <w:p w:rsidR="005E0B0F" w:rsidRDefault="00600BDB">
      <w:pPr>
        <w:autoSpaceDE w:val="0"/>
        <w:autoSpaceDN w:val="0"/>
        <w:adjustRightInd w:val="0"/>
        <w:spacing w:before="30" w:line="360" w:lineRule="auto"/>
        <w:ind w:left="15"/>
        <w:rPr>
          <w:rFonts w:ascii="Times New Roman" w:hAnsi="Times New Roman" w:cs="Times New Roman"/>
          <w:b/>
          <w:bCs/>
          <w:color w:val="000000"/>
          <w:kern w:val="0"/>
        </w:rPr>
      </w:pPr>
      <w:r>
        <w:rPr>
          <w:rFonts w:ascii="Times New Roman" w:hAnsi="Times New Roman" w:cs="Times New Roman"/>
          <w:b/>
          <w:bCs/>
          <w:color w:val="000000"/>
          <w:kern w:val="0"/>
        </w:rPr>
        <w:t xml:space="preserve">2 </w:t>
      </w:r>
      <w:r>
        <w:rPr>
          <w:rFonts w:ascii="Times New Roman" w:hAnsi="Times New Roman" w:hint="eastAsia"/>
          <w:b/>
          <w:bCs/>
          <w:color w:val="000000"/>
          <w:kern w:val="0"/>
        </w:rPr>
        <w:t>日常申购、赎回业务的办理时间</w:t>
      </w:r>
    </w:p>
    <w:p w:rsidR="005E0B0F" w:rsidRDefault="00600BDB">
      <w:pPr>
        <w:autoSpaceDE w:val="0"/>
        <w:autoSpaceDN w:val="0"/>
        <w:adjustRightInd w:val="0"/>
        <w:spacing w:line="360" w:lineRule="auto"/>
        <w:ind w:firstLine="435"/>
        <w:rPr>
          <w:rFonts w:ascii="Times New Roman" w:hAnsi="Times New Roman" w:cs="Times New Roman"/>
          <w:color w:val="000000"/>
          <w:kern w:val="0"/>
        </w:rPr>
      </w:pPr>
      <w:r>
        <w:rPr>
          <w:rFonts w:ascii="Times New Roman" w:hAnsi="Times New Roman" w:cs="Times New Roman" w:hint="eastAsia"/>
          <w:color w:val="000000"/>
          <w:kern w:val="0"/>
        </w:rPr>
        <w:t>根据</w:t>
      </w:r>
      <w:r>
        <w:rPr>
          <w:rFonts w:ascii="Times New Roman" w:hAnsi="Times New Roman" w:hint="eastAsia"/>
          <w:color w:val="000000"/>
          <w:kern w:val="0"/>
        </w:rPr>
        <w:t>《财通资管鑫盛</w:t>
      </w:r>
      <w:r>
        <w:rPr>
          <w:rFonts w:ascii="Times New Roman" w:hAnsi="Times New Roman" w:hint="eastAsia"/>
          <w:color w:val="000000"/>
          <w:kern w:val="0"/>
        </w:rPr>
        <w:t>6</w:t>
      </w:r>
      <w:r>
        <w:rPr>
          <w:rFonts w:ascii="Times New Roman" w:hAnsi="Times New Roman" w:hint="eastAsia"/>
          <w:color w:val="000000"/>
          <w:kern w:val="0"/>
        </w:rPr>
        <w:t>个月定期开放混合型证券投资基金基金合同》、《财通资管鑫盛</w:t>
      </w:r>
      <w:r>
        <w:rPr>
          <w:rFonts w:ascii="Times New Roman" w:hAnsi="Times New Roman" w:hint="eastAsia"/>
          <w:color w:val="000000"/>
          <w:kern w:val="0"/>
        </w:rPr>
        <w:t>6</w:t>
      </w:r>
      <w:r>
        <w:rPr>
          <w:rFonts w:ascii="Times New Roman" w:hAnsi="Times New Roman" w:hint="eastAsia"/>
          <w:color w:val="000000"/>
          <w:kern w:val="0"/>
        </w:rPr>
        <w:t>个月定期开放混合型证券投资基金招募说明书》</w:t>
      </w:r>
      <w:r>
        <w:rPr>
          <w:rFonts w:ascii="Times New Roman" w:hAnsi="Times New Roman" w:cs="Times New Roman" w:hint="eastAsia"/>
          <w:color w:val="000000"/>
          <w:kern w:val="0"/>
        </w:rPr>
        <w:t>的有关规定，财通资管鑫盛</w:t>
      </w:r>
      <w:r>
        <w:rPr>
          <w:rFonts w:ascii="Times New Roman" w:hAnsi="Times New Roman" w:cs="Times New Roman" w:hint="eastAsia"/>
          <w:color w:val="000000"/>
          <w:kern w:val="0"/>
        </w:rPr>
        <w:t>6</w:t>
      </w:r>
      <w:r>
        <w:rPr>
          <w:rFonts w:ascii="Times New Roman" w:hAnsi="Times New Roman" w:cs="Times New Roman" w:hint="eastAsia"/>
          <w:color w:val="000000"/>
          <w:kern w:val="0"/>
        </w:rPr>
        <w:t>个月定期开放混合型证券投资基金（以下简称“本基金”）的第一个封闭期的起始之日为基金合同生效日，结束之日为基金合同生效日所对应的</w:t>
      </w:r>
      <w:r>
        <w:rPr>
          <w:rFonts w:ascii="Times New Roman" w:hAnsi="Times New Roman" w:cs="Times New Roman" w:hint="eastAsia"/>
          <w:color w:val="000000"/>
          <w:kern w:val="0"/>
        </w:rPr>
        <w:t>6</w:t>
      </w:r>
      <w:r>
        <w:rPr>
          <w:rFonts w:ascii="Times New Roman" w:hAnsi="Times New Roman" w:cs="Times New Roman" w:hint="eastAsia"/>
          <w:color w:val="000000"/>
          <w:kern w:val="0"/>
        </w:rPr>
        <w:t>个月月度对日的前一日。第二个封闭期的起始之日为第一个开放期结束之日次日，结束之日为第二个封闭期起始之日所对应的</w:t>
      </w:r>
      <w:r>
        <w:rPr>
          <w:rFonts w:ascii="Times New Roman" w:hAnsi="Times New Roman" w:cs="Times New Roman" w:hint="eastAsia"/>
          <w:color w:val="000000"/>
          <w:kern w:val="0"/>
        </w:rPr>
        <w:t>6</w:t>
      </w:r>
      <w:r>
        <w:rPr>
          <w:rFonts w:ascii="Times New Roman" w:hAnsi="Times New Roman" w:cs="Times New Roman" w:hint="eastAsia"/>
          <w:color w:val="000000"/>
          <w:kern w:val="0"/>
        </w:rPr>
        <w:t>个月月度对日的前一日，以此类推。本基金自每个封闭期结束之日的下一个工作日起进入开放期，期间可以办理申购及</w:t>
      </w:r>
      <w:r>
        <w:rPr>
          <w:rFonts w:ascii="Times New Roman" w:hAnsi="Times New Roman" w:cs="Times New Roman" w:hint="eastAsia"/>
          <w:color w:val="000000"/>
          <w:kern w:val="0"/>
        </w:rPr>
        <w:t>/</w:t>
      </w:r>
      <w:r>
        <w:rPr>
          <w:rFonts w:ascii="Times New Roman" w:hAnsi="Times New Roman" w:cs="Times New Roman" w:hint="eastAsia"/>
          <w:color w:val="000000"/>
          <w:kern w:val="0"/>
        </w:rPr>
        <w:t>或赎回业务。本基金每个开放期至少为</w:t>
      </w:r>
      <w:r>
        <w:rPr>
          <w:rFonts w:ascii="Times New Roman" w:hAnsi="Times New Roman" w:cs="Times New Roman" w:hint="eastAsia"/>
          <w:color w:val="000000"/>
          <w:kern w:val="0"/>
        </w:rPr>
        <w:t>5</w:t>
      </w:r>
      <w:r>
        <w:rPr>
          <w:rFonts w:ascii="Times New Roman" w:hAnsi="Times New Roman" w:cs="Times New Roman" w:hint="eastAsia"/>
          <w:color w:val="000000"/>
          <w:kern w:val="0"/>
        </w:rPr>
        <w:t>个工作日，最长不超过</w:t>
      </w:r>
      <w:r>
        <w:rPr>
          <w:rFonts w:ascii="Times New Roman" w:hAnsi="Times New Roman" w:cs="Times New Roman" w:hint="eastAsia"/>
          <w:color w:val="000000"/>
          <w:kern w:val="0"/>
        </w:rPr>
        <w:t>20</w:t>
      </w:r>
      <w:r>
        <w:rPr>
          <w:rFonts w:ascii="Times New Roman" w:hAnsi="Times New Roman" w:cs="Times New Roman" w:hint="eastAsia"/>
          <w:color w:val="000000"/>
          <w:kern w:val="0"/>
        </w:rPr>
        <w:t>个工作日，本次开放的具体时间为</w:t>
      </w:r>
      <w:r>
        <w:rPr>
          <w:rFonts w:ascii="Times New Roman" w:hAnsi="Times New Roman" w:cs="Times New Roman" w:hint="eastAsia"/>
          <w:color w:val="000000"/>
          <w:kern w:val="0"/>
        </w:rPr>
        <w:t>2</w:t>
      </w:r>
      <w:r>
        <w:rPr>
          <w:rFonts w:ascii="Times New Roman" w:hAnsi="Times New Roman" w:cs="Times New Roman"/>
          <w:color w:val="000000"/>
          <w:kern w:val="0"/>
        </w:rPr>
        <w:t>0</w:t>
      </w:r>
      <w:r>
        <w:rPr>
          <w:rFonts w:ascii="Times New Roman" w:hAnsi="Times New Roman" w:cs="Times New Roman" w:hint="eastAsia"/>
          <w:color w:val="000000"/>
          <w:kern w:val="0"/>
        </w:rPr>
        <w:t>2</w:t>
      </w:r>
      <w:r>
        <w:rPr>
          <w:rFonts w:ascii="Times New Roman" w:hAnsi="Times New Roman" w:cs="Times New Roman"/>
          <w:color w:val="000000"/>
          <w:kern w:val="0"/>
        </w:rPr>
        <w:t>3</w:t>
      </w:r>
      <w:r>
        <w:rPr>
          <w:rFonts w:ascii="Times New Roman" w:hAnsi="Times New Roman" w:cs="Times New Roman" w:hint="eastAsia"/>
          <w:color w:val="000000"/>
          <w:kern w:val="0"/>
        </w:rPr>
        <w:t>年</w:t>
      </w:r>
      <w:r>
        <w:rPr>
          <w:rFonts w:ascii="Times New Roman" w:hAnsi="Times New Roman" w:cs="Times New Roman"/>
          <w:color w:val="000000"/>
          <w:kern w:val="0"/>
        </w:rPr>
        <w:t>10</w:t>
      </w:r>
      <w:r>
        <w:rPr>
          <w:rFonts w:ascii="Times New Roman" w:hAnsi="Times New Roman" w:cs="Times New Roman" w:hint="eastAsia"/>
          <w:color w:val="000000"/>
          <w:kern w:val="0"/>
        </w:rPr>
        <w:t>月</w:t>
      </w:r>
      <w:r>
        <w:rPr>
          <w:rFonts w:ascii="Times New Roman" w:hAnsi="Times New Roman" w:cs="Times New Roman"/>
          <w:color w:val="000000"/>
          <w:kern w:val="0"/>
        </w:rPr>
        <w:t>30</w:t>
      </w:r>
      <w:r>
        <w:rPr>
          <w:rFonts w:ascii="Times New Roman" w:hAnsi="Times New Roman" w:cs="Times New Roman" w:hint="eastAsia"/>
          <w:color w:val="000000"/>
          <w:kern w:val="0"/>
        </w:rPr>
        <w:t>日至</w:t>
      </w:r>
      <w:r>
        <w:rPr>
          <w:rFonts w:ascii="Times New Roman" w:hAnsi="Times New Roman" w:cs="Times New Roman" w:hint="eastAsia"/>
          <w:color w:val="000000"/>
          <w:kern w:val="0"/>
        </w:rPr>
        <w:t>2</w:t>
      </w:r>
      <w:r>
        <w:rPr>
          <w:rFonts w:ascii="Times New Roman" w:hAnsi="Times New Roman" w:cs="Times New Roman"/>
          <w:color w:val="000000"/>
          <w:kern w:val="0"/>
        </w:rPr>
        <w:t>0</w:t>
      </w:r>
      <w:r>
        <w:rPr>
          <w:rFonts w:ascii="Times New Roman" w:hAnsi="Times New Roman" w:cs="Times New Roman" w:hint="eastAsia"/>
          <w:color w:val="000000"/>
          <w:kern w:val="0"/>
        </w:rPr>
        <w:t>2</w:t>
      </w:r>
      <w:r>
        <w:rPr>
          <w:rFonts w:ascii="Times New Roman" w:hAnsi="Times New Roman" w:cs="Times New Roman"/>
          <w:color w:val="000000"/>
          <w:kern w:val="0"/>
        </w:rPr>
        <w:t>3</w:t>
      </w:r>
      <w:r>
        <w:rPr>
          <w:rFonts w:ascii="Times New Roman" w:hAnsi="Times New Roman" w:cs="Times New Roman" w:hint="eastAsia"/>
          <w:color w:val="000000"/>
          <w:kern w:val="0"/>
        </w:rPr>
        <w:t>年</w:t>
      </w:r>
      <w:r>
        <w:rPr>
          <w:rFonts w:ascii="Times New Roman" w:hAnsi="Times New Roman" w:cs="Times New Roman"/>
          <w:color w:val="000000"/>
          <w:kern w:val="0"/>
        </w:rPr>
        <w:t>11</w:t>
      </w:r>
      <w:r>
        <w:rPr>
          <w:rFonts w:ascii="Times New Roman" w:hAnsi="Times New Roman" w:cs="Times New Roman" w:hint="eastAsia"/>
          <w:color w:val="000000"/>
          <w:kern w:val="0"/>
        </w:rPr>
        <w:t>月</w:t>
      </w:r>
      <w:r>
        <w:rPr>
          <w:rFonts w:ascii="Times New Roman" w:hAnsi="Times New Roman" w:cs="Times New Roman" w:hint="eastAsia"/>
          <w:color w:val="000000"/>
          <w:kern w:val="0"/>
        </w:rPr>
        <w:t>24</w:t>
      </w:r>
      <w:r>
        <w:rPr>
          <w:rFonts w:ascii="Times New Roman" w:hAnsi="Times New Roman" w:cs="Times New Roman" w:hint="eastAsia"/>
          <w:color w:val="000000"/>
          <w:kern w:val="0"/>
        </w:rPr>
        <w:t>日。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5E0B0F" w:rsidRDefault="00600BDB">
      <w:pPr>
        <w:autoSpaceDE w:val="0"/>
        <w:autoSpaceDN w:val="0"/>
        <w:adjustRightInd w:val="0"/>
        <w:spacing w:before="30" w:line="360" w:lineRule="auto"/>
        <w:ind w:firstLineChars="200" w:firstLine="420"/>
        <w:jc w:val="left"/>
        <w:rPr>
          <w:rFonts w:ascii="Arial" w:hAnsi="Arial" w:cs="Arial"/>
        </w:rPr>
      </w:pPr>
      <w:r>
        <w:t>自</w:t>
      </w:r>
      <w:r>
        <w:rPr>
          <w:rFonts w:ascii="Times New Roman" w:hAnsi="Times New Roman" w:cs="Times New Roman" w:hint="eastAsia"/>
          <w:color w:val="000000"/>
          <w:kern w:val="0"/>
        </w:rPr>
        <w:t>2</w:t>
      </w:r>
      <w:r>
        <w:rPr>
          <w:rFonts w:ascii="Times New Roman" w:hAnsi="Times New Roman" w:cs="Times New Roman"/>
          <w:color w:val="000000"/>
          <w:kern w:val="0"/>
        </w:rPr>
        <w:t>0</w:t>
      </w:r>
      <w:r>
        <w:rPr>
          <w:rFonts w:ascii="Times New Roman" w:hAnsi="Times New Roman" w:cs="Times New Roman" w:hint="eastAsia"/>
          <w:color w:val="000000"/>
          <w:kern w:val="0"/>
        </w:rPr>
        <w:t>2</w:t>
      </w:r>
      <w:r>
        <w:rPr>
          <w:rFonts w:ascii="Times New Roman" w:hAnsi="Times New Roman" w:cs="Times New Roman"/>
          <w:color w:val="000000"/>
          <w:kern w:val="0"/>
        </w:rPr>
        <w:t>3</w:t>
      </w:r>
      <w:r>
        <w:rPr>
          <w:rFonts w:ascii="Times New Roman" w:hAnsi="Times New Roman" w:cs="Times New Roman" w:hint="eastAsia"/>
          <w:color w:val="000000"/>
          <w:kern w:val="0"/>
        </w:rPr>
        <w:t>年</w:t>
      </w:r>
      <w:r>
        <w:rPr>
          <w:rFonts w:ascii="Times New Roman" w:hAnsi="Times New Roman" w:cs="Times New Roman"/>
          <w:color w:val="000000"/>
          <w:kern w:val="0"/>
        </w:rPr>
        <w:t>10</w:t>
      </w:r>
      <w:r>
        <w:rPr>
          <w:rFonts w:ascii="Times New Roman" w:hAnsi="Times New Roman" w:cs="Times New Roman" w:hint="eastAsia"/>
          <w:color w:val="000000"/>
          <w:kern w:val="0"/>
        </w:rPr>
        <w:t>月</w:t>
      </w:r>
      <w:r>
        <w:rPr>
          <w:rFonts w:ascii="Times New Roman" w:hAnsi="Times New Roman" w:cs="Times New Roman"/>
          <w:color w:val="000000"/>
          <w:kern w:val="0"/>
        </w:rPr>
        <w:t>30</w:t>
      </w:r>
      <w:r>
        <w:rPr>
          <w:rFonts w:ascii="Times New Roman" w:hAnsi="Times New Roman" w:cs="Times New Roman" w:hint="eastAsia"/>
          <w:color w:val="000000"/>
          <w:kern w:val="0"/>
        </w:rPr>
        <w:t>日</w:t>
      </w:r>
      <w:r>
        <w:t>起，本基金进入</w:t>
      </w:r>
      <w:r>
        <w:rPr>
          <w:rFonts w:hint="eastAsia"/>
        </w:rPr>
        <w:t>第十</w:t>
      </w:r>
      <w:r>
        <w:t>个开放期，</w:t>
      </w:r>
      <w:r>
        <w:rPr>
          <w:rFonts w:ascii="Times New Roman" w:hAnsi="Times New Roman" w:cs="Times New Roman" w:hint="eastAsia"/>
          <w:color w:val="000000"/>
          <w:kern w:val="0"/>
        </w:rPr>
        <w:t>2</w:t>
      </w:r>
      <w:r>
        <w:rPr>
          <w:rFonts w:ascii="Times New Roman" w:hAnsi="Times New Roman" w:cs="Times New Roman"/>
          <w:color w:val="000000"/>
          <w:kern w:val="0"/>
        </w:rPr>
        <w:t>0</w:t>
      </w:r>
      <w:r>
        <w:rPr>
          <w:rFonts w:ascii="Times New Roman" w:hAnsi="Times New Roman" w:cs="Times New Roman" w:hint="eastAsia"/>
          <w:color w:val="000000"/>
          <w:kern w:val="0"/>
        </w:rPr>
        <w:t>2</w:t>
      </w:r>
      <w:r>
        <w:rPr>
          <w:rFonts w:ascii="Times New Roman" w:hAnsi="Times New Roman" w:cs="Times New Roman"/>
          <w:color w:val="000000"/>
          <w:kern w:val="0"/>
        </w:rPr>
        <w:t>3</w:t>
      </w:r>
      <w:r>
        <w:rPr>
          <w:rFonts w:ascii="Times New Roman" w:hAnsi="Times New Roman" w:cs="Times New Roman" w:hint="eastAsia"/>
          <w:color w:val="000000"/>
          <w:kern w:val="0"/>
        </w:rPr>
        <w:t>年</w:t>
      </w:r>
      <w:r>
        <w:rPr>
          <w:rFonts w:ascii="Times New Roman" w:hAnsi="Times New Roman" w:cs="Times New Roman"/>
          <w:color w:val="000000"/>
          <w:kern w:val="0"/>
        </w:rPr>
        <w:t>10</w:t>
      </w:r>
      <w:r>
        <w:rPr>
          <w:rFonts w:ascii="Times New Roman" w:hAnsi="Times New Roman" w:cs="Times New Roman" w:hint="eastAsia"/>
          <w:color w:val="000000"/>
          <w:kern w:val="0"/>
        </w:rPr>
        <w:t>月</w:t>
      </w:r>
      <w:r>
        <w:rPr>
          <w:rFonts w:ascii="Times New Roman" w:hAnsi="Times New Roman" w:cs="Times New Roman"/>
          <w:color w:val="000000"/>
          <w:kern w:val="0"/>
        </w:rPr>
        <w:t>30</w:t>
      </w:r>
      <w:r>
        <w:rPr>
          <w:rFonts w:ascii="Times New Roman" w:hAnsi="Times New Roman" w:cs="Times New Roman" w:hint="eastAsia"/>
          <w:color w:val="000000"/>
          <w:kern w:val="0"/>
        </w:rPr>
        <w:t>日</w:t>
      </w:r>
      <w:r>
        <w:t>为本基金的</w:t>
      </w:r>
      <w:r>
        <w:rPr>
          <w:rFonts w:hint="eastAsia"/>
        </w:rPr>
        <w:t>本次</w:t>
      </w:r>
      <w:r>
        <w:t>开放期的第</w:t>
      </w:r>
      <w:r>
        <w:lastRenderedPageBreak/>
        <w:t>一个开放日，基金管理人自该日期开始办理本基金的申购、赎回业务，</w:t>
      </w:r>
      <w:r>
        <w:rPr>
          <w:rFonts w:ascii="Arial" w:hAnsi="Arial" w:cs="Arial" w:hint="eastAsia"/>
        </w:rPr>
        <w:t>具体办理时间为上海证券交易所、深圳证券交易所的正常交易日的交易时间，但基金管理人根据法律法规、中国证监会的要求或基金合同的规定公告暂停申购、赎回时除外。</w:t>
      </w:r>
    </w:p>
    <w:p w:rsidR="005E0B0F" w:rsidRDefault="005E0B0F">
      <w:pPr>
        <w:autoSpaceDE w:val="0"/>
        <w:autoSpaceDN w:val="0"/>
        <w:adjustRightInd w:val="0"/>
        <w:spacing w:line="360" w:lineRule="auto"/>
        <w:ind w:firstLine="435"/>
        <w:rPr>
          <w:rFonts w:ascii="Times New Roman" w:hAnsi="Times New Roman" w:cs="Times New Roman"/>
          <w:color w:val="000000"/>
          <w:kern w:val="0"/>
        </w:rPr>
      </w:pPr>
    </w:p>
    <w:p w:rsidR="005E0B0F" w:rsidRDefault="00600BDB">
      <w:pPr>
        <w:autoSpaceDE w:val="0"/>
        <w:autoSpaceDN w:val="0"/>
        <w:adjustRightInd w:val="0"/>
        <w:spacing w:before="30" w:line="360" w:lineRule="auto"/>
        <w:ind w:firstLineChars="200" w:firstLine="420"/>
        <w:rPr>
          <w:rFonts w:ascii="Arial" w:hAnsi="Arial" w:cs="Arial"/>
        </w:rPr>
      </w:pPr>
      <w:r>
        <w:rPr>
          <w:rFonts w:ascii="Arial" w:hAnsi="Arial" w:cs="Arial" w:hint="eastAsia"/>
        </w:rPr>
        <w:t>若出现新的证券</w:t>
      </w:r>
      <w:r>
        <w:rPr>
          <w:rFonts w:ascii="Arial" w:hAnsi="Arial" w:cs="Arial" w:hint="eastAsia"/>
        </w:rPr>
        <w:t>/</w:t>
      </w:r>
      <w:r>
        <w:rPr>
          <w:rFonts w:ascii="Arial" w:hAnsi="Arial" w:cs="Arial" w:hint="eastAsia"/>
        </w:rPr>
        <w:t>期货交易市场、证券</w:t>
      </w:r>
      <w:r>
        <w:rPr>
          <w:rFonts w:ascii="Arial" w:hAnsi="Arial" w:cs="Arial" w:hint="eastAsia"/>
        </w:rPr>
        <w:t>/</w:t>
      </w:r>
      <w:r>
        <w:rPr>
          <w:rFonts w:ascii="Arial" w:hAnsi="Arial" w:cs="Arial" w:hint="eastAsia"/>
        </w:rPr>
        <w:t>期货交易所交易时间变更或其他特殊情况，基金管理人将视情况对前述开放日及开放时间进行相应的调整，但应在实施日前依照《信息披露办法》的有关规定在指定媒介上公告。</w:t>
      </w:r>
    </w:p>
    <w:p w:rsidR="005E0B0F" w:rsidRDefault="00600BDB">
      <w:pPr>
        <w:autoSpaceDE w:val="0"/>
        <w:autoSpaceDN w:val="0"/>
        <w:adjustRightInd w:val="0"/>
        <w:spacing w:before="30" w:line="360" w:lineRule="auto"/>
        <w:ind w:firstLineChars="200" w:firstLine="420"/>
        <w:rPr>
          <w:rFonts w:ascii="Arial" w:hAnsi="Arial" w:cs="Arial"/>
        </w:rPr>
      </w:pPr>
      <w:r>
        <w:rPr>
          <w:rFonts w:ascii="Arial" w:hAnsi="Arial" w:cs="Arial" w:hint="eastAsia"/>
        </w:rPr>
        <w:t xml:space="preserve"> </w:t>
      </w:r>
    </w:p>
    <w:p w:rsidR="005E0B0F" w:rsidRDefault="00600BDB">
      <w:pPr>
        <w:autoSpaceDE w:val="0"/>
        <w:autoSpaceDN w:val="0"/>
        <w:adjustRightInd w:val="0"/>
        <w:spacing w:before="30" w:line="360" w:lineRule="auto"/>
        <w:rPr>
          <w:rFonts w:ascii="Times New Roman" w:hAnsi="Times New Roman" w:cs="Times New Roman"/>
          <w:b/>
          <w:bCs/>
          <w:color w:val="000000"/>
          <w:kern w:val="0"/>
        </w:rPr>
      </w:pPr>
      <w:r>
        <w:rPr>
          <w:rFonts w:ascii="Times New Roman" w:hAnsi="Times New Roman" w:cs="Times New Roman"/>
          <w:b/>
          <w:bCs/>
          <w:color w:val="000000"/>
          <w:kern w:val="0"/>
        </w:rPr>
        <w:t xml:space="preserve">3 </w:t>
      </w:r>
      <w:r>
        <w:rPr>
          <w:rFonts w:ascii="Times New Roman" w:hAnsi="Times New Roman" w:hint="eastAsia"/>
          <w:b/>
          <w:bCs/>
          <w:color w:val="000000"/>
          <w:kern w:val="0"/>
        </w:rPr>
        <w:t>日常申购业务</w:t>
      </w:r>
    </w:p>
    <w:p w:rsidR="005E0B0F" w:rsidRDefault="00600BDB">
      <w:pPr>
        <w:autoSpaceDE w:val="0"/>
        <w:autoSpaceDN w:val="0"/>
        <w:adjustRightInd w:val="0"/>
        <w:spacing w:before="30" w:line="360" w:lineRule="auto"/>
        <w:ind w:left="15"/>
        <w:rPr>
          <w:rFonts w:ascii="Times New Roman" w:hAnsi="Times New Roman"/>
          <w:b/>
          <w:bCs/>
          <w:color w:val="000000"/>
          <w:kern w:val="0"/>
        </w:rPr>
      </w:pPr>
      <w:r>
        <w:rPr>
          <w:rFonts w:ascii="Times New Roman" w:hAnsi="Times New Roman" w:cs="Times New Roman"/>
          <w:b/>
          <w:bCs/>
          <w:color w:val="000000"/>
          <w:kern w:val="0"/>
        </w:rPr>
        <w:t xml:space="preserve">3.1 </w:t>
      </w:r>
      <w:r>
        <w:rPr>
          <w:rFonts w:ascii="Times New Roman" w:hAnsi="Times New Roman" w:hint="eastAsia"/>
          <w:b/>
          <w:bCs/>
          <w:color w:val="000000"/>
          <w:kern w:val="0"/>
        </w:rPr>
        <w:t>申购金额限制</w:t>
      </w:r>
    </w:p>
    <w:p w:rsidR="005E0B0F" w:rsidRDefault="00600BDB">
      <w:pPr>
        <w:autoSpaceDE w:val="0"/>
        <w:autoSpaceDN w:val="0"/>
        <w:adjustRightInd w:val="0"/>
        <w:spacing w:line="360" w:lineRule="auto"/>
        <w:ind w:firstLine="420"/>
        <w:rPr>
          <w:rFonts w:ascii="Times New Roman" w:hAnsi="Times New Roman" w:cs="Times New Roman"/>
          <w:color w:val="000000"/>
          <w:kern w:val="0"/>
        </w:rPr>
      </w:pPr>
      <w:r>
        <w:rPr>
          <w:rFonts w:ascii="Times New Roman" w:hAnsi="Times New Roman" w:cs="Times New Roman" w:hint="eastAsia"/>
          <w:color w:val="000000"/>
          <w:kern w:val="0"/>
        </w:rPr>
        <w:t>直销柜台每个账户首次申购的最低金额为</w:t>
      </w:r>
      <w:r>
        <w:rPr>
          <w:rFonts w:ascii="Times New Roman" w:hAnsi="Times New Roman" w:cs="Times New Roman" w:hint="eastAsia"/>
          <w:color w:val="000000"/>
          <w:kern w:val="0"/>
        </w:rPr>
        <w:t>500,000</w:t>
      </w:r>
      <w:r>
        <w:rPr>
          <w:rFonts w:ascii="Times New Roman" w:hAnsi="Times New Roman" w:cs="Times New Roman" w:hint="eastAsia"/>
          <w:color w:val="000000"/>
          <w:kern w:val="0"/>
        </w:rPr>
        <w:t>元，追加申购的最低金额为单笔</w:t>
      </w:r>
      <w:r>
        <w:rPr>
          <w:rFonts w:ascii="Times New Roman" w:hAnsi="Times New Roman" w:cs="Times New Roman" w:hint="eastAsia"/>
          <w:color w:val="000000"/>
          <w:kern w:val="0"/>
        </w:rPr>
        <w:t>1,000</w:t>
      </w:r>
      <w:r>
        <w:rPr>
          <w:rFonts w:ascii="Times New Roman" w:hAnsi="Times New Roman" w:cs="Times New Roman" w:hint="eastAsia"/>
          <w:color w:val="000000"/>
          <w:kern w:val="0"/>
        </w:rPr>
        <w:t>元；已在直销柜台有认购过本基金记录的投资者不受首次申购最低金额的限制。通过基金管理人网上直销交易平台办理基金申购业务的不受直销柜台单笔申购最低金额的限制，申购最低金额为单笔</w:t>
      </w:r>
      <w:r>
        <w:rPr>
          <w:rFonts w:ascii="Times New Roman" w:hAnsi="Times New Roman" w:cs="Times New Roman" w:hint="eastAsia"/>
          <w:color w:val="000000"/>
          <w:kern w:val="0"/>
        </w:rPr>
        <w:t>1</w:t>
      </w:r>
      <w:r>
        <w:rPr>
          <w:rFonts w:ascii="Times New Roman" w:hAnsi="Times New Roman" w:cs="Times New Roman" w:hint="eastAsia"/>
          <w:color w:val="000000"/>
          <w:kern w:val="0"/>
        </w:rPr>
        <w:t>元。本基金直销柜台单笔申购最低金额可由基金管理人酌情调整。其他各销售机构每个账户申购的最低金额为单笔</w:t>
      </w:r>
      <w:r>
        <w:rPr>
          <w:rFonts w:ascii="Times New Roman" w:hAnsi="Times New Roman" w:cs="Times New Roman" w:hint="eastAsia"/>
          <w:color w:val="000000"/>
          <w:kern w:val="0"/>
        </w:rPr>
        <w:t>1</w:t>
      </w:r>
      <w:r>
        <w:rPr>
          <w:rFonts w:ascii="Times New Roman" w:hAnsi="Times New Roman" w:cs="Times New Roman" w:hint="eastAsia"/>
          <w:color w:val="000000"/>
          <w:kern w:val="0"/>
        </w:rPr>
        <w:t>元，如果销售机构业务规则规定的最低单笔申购金额高于</w:t>
      </w:r>
      <w:r>
        <w:rPr>
          <w:rFonts w:ascii="Times New Roman" w:hAnsi="Times New Roman" w:cs="Times New Roman" w:hint="eastAsia"/>
          <w:color w:val="000000"/>
          <w:kern w:val="0"/>
        </w:rPr>
        <w:t xml:space="preserve"> 1 </w:t>
      </w:r>
      <w:r>
        <w:rPr>
          <w:rFonts w:ascii="Times New Roman" w:hAnsi="Times New Roman" w:cs="Times New Roman" w:hint="eastAsia"/>
          <w:color w:val="000000"/>
          <w:kern w:val="0"/>
        </w:rPr>
        <w:t>元，以销售机构的规定为准。</w:t>
      </w:r>
    </w:p>
    <w:p w:rsidR="005E0B0F" w:rsidRDefault="00600BDB">
      <w:pPr>
        <w:autoSpaceDE w:val="0"/>
        <w:autoSpaceDN w:val="0"/>
        <w:adjustRightInd w:val="0"/>
        <w:spacing w:before="30" w:line="360" w:lineRule="auto"/>
        <w:ind w:left="15"/>
        <w:rPr>
          <w:rFonts w:ascii="Times New Roman" w:hAnsi="Times New Roman" w:cs="Times New Roman"/>
          <w:b/>
          <w:bCs/>
          <w:color w:val="000000"/>
          <w:kern w:val="0"/>
        </w:rPr>
      </w:pPr>
      <w:r>
        <w:rPr>
          <w:rFonts w:ascii="Times New Roman" w:hAnsi="Times New Roman" w:cs="Times New Roman"/>
          <w:b/>
          <w:bCs/>
          <w:color w:val="000000"/>
          <w:kern w:val="0"/>
        </w:rPr>
        <w:t xml:space="preserve">3.2 </w:t>
      </w:r>
      <w:r>
        <w:rPr>
          <w:rFonts w:ascii="Times New Roman" w:hAnsi="Times New Roman" w:hint="eastAsia"/>
          <w:b/>
          <w:bCs/>
          <w:color w:val="000000"/>
          <w:kern w:val="0"/>
        </w:rPr>
        <w:t>申购费率</w:t>
      </w:r>
    </w:p>
    <w:p w:rsidR="005E0B0F" w:rsidRDefault="00600BDB">
      <w:pPr>
        <w:widowControl/>
        <w:adjustRightInd w:val="0"/>
        <w:snapToGrid w:val="0"/>
        <w:spacing w:line="360" w:lineRule="auto"/>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本基金对通过基金管理人直销柜台申购基金份额的养老金客户与除此之外的其他投资者实施差别的申购费率。</w:t>
      </w:r>
    </w:p>
    <w:p w:rsidR="005E0B0F" w:rsidRDefault="00600BDB">
      <w:pPr>
        <w:widowControl/>
        <w:adjustRightInd w:val="0"/>
        <w:snapToGrid w:val="0"/>
        <w:spacing w:line="360" w:lineRule="auto"/>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养老金客户指基本养老基金与依法成立的养老计划筹集的资金及其投资运营收益形成的补充养老基金，包括全国社会保障基金、可以投资基金的地方社会保障基金、企业年金单一计划以及集合计划、企业年金理事会委托的特定客户资产管理计划以及企业年金养老金产品。如将来出现经养老基金监管部门认可的新的养老基金类型，基金管理人可在招募说明书更新时或发布临时公告将其纳入养老金客户范围，并按规定向中国证监会备案。非养老金客户指除养老金客户外的其他投资者。</w:t>
      </w:r>
    </w:p>
    <w:p w:rsidR="005E0B0F" w:rsidRDefault="00600BDB">
      <w:pPr>
        <w:widowControl/>
        <w:adjustRightInd w:val="0"/>
        <w:snapToGrid w:val="0"/>
        <w:spacing w:line="360" w:lineRule="auto"/>
        <w:ind w:firstLineChars="200" w:firstLine="420"/>
        <w:rPr>
          <w:kern w:val="0"/>
          <w:sz w:val="24"/>
        </w:rPr>
      </w:pPr>
      <w:r>
        <w:rPr>
          <w:rFonts w:ascii="Times New Roman" w:hAnsi="Times New Roman" w:cs="Times New Roman" w:hint="eastAsia"/>
          <w:color w:val="000000"/>
          <w:kern w:val="0"/>
        </w:rPr>
        <w:t>通过基金管理人直销柜台申购本基金基金份额的养老金客户适用下表特定申购费率，其他投资人申购本基金份额的适用下表一般申购费率：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2634"/>
        <w:gridCol w:w="2821"/>
      </w:tblGrid>
      <w:tr w:rsidR="005E0B0F">
        <w:trPr>
          <w:jc w:val="center"/>
        </w:trPr>
        <w:tc>
          <w:tcPr>
            <w:tcW w:w="3242" w:type="dxa"/>
          </w:tcPr>
          <w:p w:rsidR="005E0B0F" w:rsidRDefault="00600BDB">
            <w:pPr>
              <w:widowControl/>
              <w:adjustRightInd w:val="0"/>
              <w:snapToGrid w:val="0"/>
              <w:spacing w:line="360" w:lineRule="auto"/>
              <w:rPr>
                <w:rFonts w:hAnsi="宋体"/>
                <w:b/>
              </w:rPr>
            </w:pPr>
            <w:r>
              <w:rPr>
                <w:rFonts w:hAnsi="宋体" w:hint="eastAsia"/>
                <w:b/>
              </w:rPr>
              <w:t>申购金额</w:t>
            </w:r>
            <w:r>
              <w:rPr>
                <w:rFonts w:hAnsi="宋体" w:hint="eastAsia"/>
                <w:b/>
              </w:rPr>
              <w:t>M</w:t>
            </w:r>
          </w:p>
        </w:tc>
        <w:tc>
          <w:tcPr>
            <w:tcW w:w="2634" w:type="dxa"/>
          </w:tcPr>
          <w:p w:rsidR="005E0B0F" w:rsidRDefault="00600BDB">
            <w:pPr>
              <w:widowControl/>
              <w:adjustRightInd w:val="0"/>
              <w:snapToGrid w:val="0"/>
              <w:spacing w:line="360" w:lineRule="auto"/>
              <w:rPr>
                <w:rFonts w:hAnsi="宋体"/>
                <w:b/>
              </w:rPr>
            </w:pPr>
            <w:r>
              <w:rPr>
                <w:rFonts w:hAnsi="宋体" w:hint="eastAsia"/>
                <w:b/>
              </w:rPr>
              <w:t>一般申购费率</w:t>
            </w:r>
          </w:p>
        </w:tc>
        <w:tc>
          <w:tcPr>
            <w:tcW w:w="2821" w:type="dxa"/>
          </w:tcPr>
          <w:p w:rsidR="005E0B0F" w:rsidRDefault="00600BDB">
            <w:pPr>
              <w:widowControl/>
              <w:adjustRightInd w:val="0"/>
              <w:snapToGrid w:val="0"/>
              <w:spacing w:line="360" w:lineRule="auto"/>
              <w:rPr>
                <w:rFonts w:hAnsi="宋体"/>
                <w:b/>
              </w:rPr>
            </w:pPr>
            <w:r>
              <w:rPr>
                <w:rFonts w:hAnsi="宋体" w:hint="eastAsia"/>
                <w:b/>
              </w:rPr>
              <w:t>特定申购费率</w:t>
            </w:r>
          </w:p>
        </w:tc>
      </w:tr>
      <w:tr w:rsidR="005E0B0F">
        <w:trPr>
          <w:jc w:val="center"/>
        </w:trPr>
        <w:tc>
          <w:tcPr>
            <w:tcW w:w="3242" w:type="dxa"/>
          </w:tcPr>
          <w:p w:rsidR="005E0B0F" w:rsidRDefault="00600BDB">
            <w:pPr>
              <w:widowControl/>
              <w:adjustRightInd w:val="0"/>
              <w:snapToGrid w:val="0"/>
              <w:spacing w:line="360" w:lineRule="auto"/>
              <w:rPr>
                <w:rFonts w:hAnsi="宋体"/>
              </w:rPr>
            </w:pPr>
            <w:r>
              <w:rPr>
                <w:rFonts w:hAnsi="宋体"/>
              </w:rPr>
              <w:t>M&lt;100</w:t>
            </w:r>
            <w:r>
              <w:rPr>
                <w:rFonts w:hAnsi="宋体" w:hint="eastAsia"/>
              </w:rPr>
              <w:t>万元</w:t>
            </w:r>
          </w:p>
        </w:tc>
        <w:tc>
          <w:tcPr>
            <w:tcW w:w="2634" w:type="dxa"/>
          </w:tcPr>
          <w:p w:rsidR="005E0B0F" w:rsidRDefault="00600BDB">
            <w:pPr>
              <w:widowControl/>
              <w:adjustRightInd w:val="0"/>
              <w:snapToGrid w:val="0"/>
              <w:spacing w:line="360" w:lineRule="auto"/>
              <w:rPr>
                <w:rFonts w:hAnsi="宋体"/>
              </w:rPr>
            </w:pPr>
            <w:r>
              <w:rPr>
                <w:rFonts w:hAnsi="宋体"/>
              </w:rPr>
              <w:t>1.20%</w:t>
            </w:r>
          </w:p>
        </w:tc>
        <w:tc>
          <w:tcPr>
            <w:tcW w:w="2821" w:type="dxa"/>
          </w:tcPr>
          <w:p w:rsidR="005E0B0F" w:rsidRDefault="00600BDB">
            <w:pPr>
              <w:widowControl/>
              <w:adjustRightInd w:val="0"/>
              <w:snapToGrid w:val="0"/>
              <w:spacing w:line="360" w:lineRule="auto"/>
              <w:rPr>
                <w:rFonts w:hAnsi="宋体"/>
              </w:rPr>
            </w:pPr>
            <w:r>
              <w:rPr>
                <w:rFonts w:hAnsi="宋体"/>
              </w:rPr>
              <w:t>0.48%</w:t>
            </w:r>
          </w:p>
        </w:tc>
      </w:tr>
      <w:tr w:rsidR="005E0B0F">
        <w:trPr>
          <w:jc w:val="center"/>
        </w:trPr>
        <w:tc>
          <w:tcPr>
            <w:tcW w:w="3242" w:type="dxa"/>
          </w:tcPr>
          <w:p w:rsidR="005E0B0F" w:rsidRDefault="00600BDB">
            <w:pPr>
              <w:widowControl/>
              <w:adjustRightInd w:val="0"/>
              <w:snapToGrid w:val="0"/>
              <w:spacing w:line="360" w:lineRule="auto"/>
              <w:rPr>
                <w:rFonts w:hAnsi="宋体"/>
              </w:rPr>
            </w:pPr>
            <w:r>
              <w:rPr>
                <w:rFonts w:hAnsi="宋体"/>
              </w:rPr>
              <w:t>100</w:t>
            </w:r>
            <w:r>
              <w:rPr>
                <w:rFonts w:hAnsi="宋体" w:hint="eastAsia"/>
              </w:rPr>
              <w:t>万元≤</w:t>
            </w:r>
            <w:r>
              <w:rPr>
                <w:rFonts w:hAnsi="宋体"/>
              </w:rPr>
              <w:t>M&lt;500</w:t>
            </w:r>
            <w:r>
              <w:rPr>
                <w:rFonts w:hAnsi="宋体" w:hint="eastAsia"/>
              </w:rPr>
              <w:t>万元</w:t>
            </w:r>
          </w:p>
        </w:tc>
        <w:tc>
          <w:tcPr>
            <w:tcW w:w="2634" w:type="dxa"/>
          </w:tcPr>
          <w:p w:rsidR="005E0B0F" w:rsidRDefault="00600BDB">
            <w:pPr>
              <w:widowControl/>
              <w:adjustRightInd w:val="0"/>
              <w:snapToGrid w:val="0"/>
              <w:spacing w:line="360" w:lineRule="auto"/>
              <w:rPr>
                <w:rFonts w:hAnsi="宋体"/>
              </w:rPr>
            </w:pPr>
            <w:r>
              <w:rPr>
                <w:rFonts w:hAnsi="宋体"/>
              </w:rPr>
              <w:t>0.80%</w:t>
            </w:r>
          </w:p>
        </w:tc>
        <w:tc>
          <w:tcPr>
            <w:tcW w:w="2821" w:type="dxa"/>
          </w:tcPr>
          <w:p w:rsidR="005E0B0F" w:rsidRDefault="00600BDB">
            <w:pPr>
              <w:widowControl/>
              <w:adjustRightInd w:val="0"/>
              <w:snapToGrid w:val="0"/>
              <w:spacing w:line="360" w:lineRule="auto"/>
              <w:rPr>
                <w:rFonts w:hAnsi="宋体"/>
              </w:rPr>
            </w:pPr>
            <w:r>
              <w:rPr>
                <w:rFonts w:hAnsi="宋体"/>
              </w:rPr>
              <w:t>0.32%</w:t>
            </w:r>
          </w:p>
        </w:tc>
      </w:tr>
      <w:tr w:rsidR="005E0B0F">
        <w:trPr>
          <w:jc w:val="center"/>
        </w:trPr>
        <w:tc>
          <w:tcPr>
            <w:tcW w:w="3242" w:type="dxa"/>
          </w:tcPr>
          <w:p w:rsidR="005E0B0F" w:rsidRDefault="00600BDB">
            <w:pPr>
              <w:widowControl/>
              <w:adjustRightInd w:val="0"/>
              <w:snapToGrid w:val="0"/>
              <w:spacing w:line="360" w:lineRule="auto"/>
              <w:rPr>
                <w:rFonts w:hAnsi="宋体"/>
              </w:rPr>
            </w:pPr>
            <w:r>
              <w:rPr>
                <w:rFonts w:hAnsi="宋体"/>
              </w:rPr>
              <w:t>M</w:t>
            </w:r>
            <w:r>
              <w:rPr>
                <w:rFonts w:hAnsi="宋体" w:hint="eastAsia"/>
              </w:rPr>
              <w:t>≥</w:t>
            </w:r>
            <w:r>
              <w:rPr>
                <w:rFonts w:hAnsi="宋体"/>
              </w:rPr>
              <w:t>500</w:t>
            </w:r>
            <w:r>
              <w:rPr>
                <w:rFonts w:hAnsi="宋体" w:hint="eastAsia"/>
              </w:rPr>
              <w:t>万元</w:t>
            </w:r>
          </w:p>
        </w:tc>
        <w:tc>
          <w:tcPr>
            <w:tcW w:w="2634" w:type="dxa"/>
          </w:tcPr>
          <w:p w:rsidR="005E0B0F" w:rsidRDefault="00600BDB">
            <w:pPr>
              <w:widowControl/>
              <w:adjustRightInd w:val="0"/>
              <w:snapToGrid w:val="0"/>
              <w:spacing w:line="360" w:lineRule="auto"/>
              <w:rPr>
                <w:rFonts w:hAnsi="宋体"/>
              </w:rPr>
            </w:pPr>
            <w:r>
              <w:rPr>
                <w:rFonts w:hAnsi="宋体" w:hint="eastAsia"/>
              </w:rPr>
              <w:t>每笔</w:t>
            </w:r>
            <w:r>
              <w:rPr>
                <w:rFonts w:hAnsi="宋体"/>
              </w:rPr>
              <w:t>1000</w:t>
            </w:r>
            <w:r>
              <w:rPr>
                <w:rFonts w:hAnsi="宋体" w:hint="eastAsia"/>
              </w:rPr>
              <w:t>元</w:t>
            </w:r>
          </w:p>
        </w:tc>
        <w:tc>
          <w:tcPr>
            <w:tcW w:w="2821" w:type="dxa"/>
          </w:tcPr>
          <w:p w:rsidR="005E0B0F" w:rsidRDefault="00600BDB">
            <w:pPr>
              <w:widowControl/>
              <w:adjustRightInd w:val="0"/>
              <w:snapToGrid w:val="0"/>
              <w:spacing w:line="360" w:lineRule="auto"/>
              <w:rPr>
                <w:rFonts w:hAnsi="宋体"/>
              </w:rPr>
            </w:pPr>
            <w:r>
              <w:rPr>
                <w:rFonts w:hAnsi="宋体" w:hint="eastAsia"/>
              </w:rPr>
              <w:t>每笔</w:t>
            </w:r>
            <w:r>
              <w:rPr>
                <w:rFonts w:hAnsi="宋体"/>
              </w:rPr>
              <w:t>1000</w:t>
            </w:r>
            <w:r>
              <w:rPr>
                <w:rFonts w:hAnsi="宋体" w:hint="eastAsia"/>
              </w:rPr>
              <w:t>元</w:t>
            </w:r>
          </w:p>
        </w:tc>
      </w:tr>
    </w:tbl>
    <w:p w:rsidR="005E0B0F" w:rsidRDefault="00600BDB">
      <w:pPr>
        <w:autoSpaceDE w:val="0"/>
        <w:autoSpaceDN w:val="0"/>
        <w:adjustRightInd w:val="0"/>
        <w:spacing w:before="240" w:line="360" w:lineRule="auto"/>
        <w:ind w:left="17"/>
        <w:rPr>
          <w:rFonts w:ascii="Times New Roman" w:hAnsi="Times New Roman" w:cs="Times New Roman"/>
          <w:b/>
          <w:bCs/>
          <w:color w:val="000000"/>
          <w:kern w:val="0"/>
        </w:rPr>
      </w:pPr>
      <w:r>
        <w:rPr>
          <w:rFonts w:ascii="Times New Roman" w:hAnsi="Times New Roman" w:cs="Times New Roman"/>
          <w:b/>
          <w:bCs/>
          <w:color w:val="000000"/>
          <w:kern w:val="0"/>
        </w:rPr>
        <w:t>3.3</w:t>
      </w:r>
      <w:r>
        <w:rPr>
          <w:rFonts w:ascii="Times New Roman" w:hAnsi="Times New Roman" w:cs="Times New Roman" w:hint="eastAsia"/>
          <w:b/>
          <w:bCs/>
          <w:color w:val="000000"/>
          <w:kern w:val="0"/>
        </w:rPr>
        <w:t>其他与申购相关的事项</w:t>
      </w:r>
    </w:p>
    <w:p w:rsidR="005E0B0F" w:rsidRDefault="00600BDB">
      <w:pPr>
        <w:widowControl/>
        <w:tabs>
          <w:tab w:val="left" w:pos="284"/>
          <w:tab w:val="left" w:pos="426"/>
        </w:tabs>
        <w:adjustRightInd w:val="0"/>
        <w:snapToGrid w:val="0"/>
        <w:spacing w:line="360" w:lineRule="auto"/>
        <w:rPr>
          <w:kern w:val="0"/>
        </w:rPr>
      </w:pPr>
      <w:r>
        <w:rPr>
          <w:rFonts w:hint="eastAsia"/>
          <w:kern w:val="0"/>
        </w:rPr>
        <w:t>（</w:t>
      </w:r>
      <w:r>
        <w:rPr>
          <w:rFonts w:hint="eastAsia"/>
          <w:kern w:val="0"/>
        </w:rPr>
        <w:t>1</w:t>
      </w:r>
      <w:r>
        <w:rPr>
          <w:rFonts w:hint="eastAsia"/>
          <w:kern w:val="0"/>
        </w:rPr>
        <w:t>）本基金的申购费用应在投资人申购基金份额时收取，申购费用由基金申购人承担，不列入基金财产，主要用于本基金的市场推广、销售、登记等各项费用。</w:t>
      </w:r>
    </w:p>
    <w:p w:rsidR="005E0B0F" w:rsidRDefault="00600BDB">
      <w:pPr>
        <w:widowControl/>
        <w:tabs>
          <w:tab w:val="left" w:pos="284"/>
          <w:tab w:val="left" w:pos="426"/>
        </w:tabs>
        <w:adjustRightInd w:val="0"/>
        <w:snapToGrid w:val="0"/>
        <w:spacing w:line="360" w:lineRule="auto"/>
        <w:rPr>
          <w:kern w:val="0"/>
        </w:rPr>
      </w:pPr>
      <w:r>
        <w:rPr>
          <w:rFonts w:hint="eastAsia"/>
          <w:kern w:val="0"/>
        </w:rPr>
        <w:lastRenderedPageBreak/>
        <w:t>（</w:t>
      </w:r>
      <w:r>
        <w:rPr>
          <w:rFonts w:hint="eastAsia"/>
          <w:kern w:val="0"/>
        </w:rPr>
        <w:t>2</w:t>
      </w:r>
      <w:r>
        <w:rPr>
          <w:rFonts w:hint="eastAsia"/>
          <w:kern w:val="0"/>
        </w:rPr>
        <w:t>）投资人可以多次申购本基金，申购费用按每笔申购申请单独计算。</w:t>
      </w:r>
    </w:p>
    <w:p w:rsidR="005E0B0F" w:rsidRDefault="00600BDB">
      <w:pPr>
        <w:widowControl/>
        <w:tabs>
          <w:tab w:val="left" w:pos="284"/>
          <w:tab w:val="left" w:pos="426"/>
        </w:tabs>
        <w:adjustRightInd w:val="0"/>
        <w:snapToGrid w:val="0"/>
        <w:spacing w:line="360" w:lineRule="auto"/>
        <w:rPr>
          <w:kern w:val="0"/>
        </w:rPr>
      </w:pPr>
      <w:r>
        <w:rPr>
          <w:rFonts w:hint="eastAsia"/>
          <w:kern w:val="0"/>
        </w:rPr>
        <w:t>（</w:t>
      </w:r>
      <w:r>
        <w:rPr>
          <w:rFonts w:hint="eastAsia"/>
          <w:kern w:val="0"/>
        </w:rPr>
        <w:t>3</w:t>
      </w:r>
      <w:r>
        <w:rPr>
          <w:rFonts w:hint="eastAsia"/>
          <w:kern w:val="0"/>
        </w:rPr>
        <w:t>）因红利再投资而产生的基金份额，不收取相应的申购费用。</w:t>
      </w:r>
      <w:r>
        <w:rPr>
          <w:kern w:val="0"/>
        </w:rPr>
        <w:cr/>
      </w:r>
      <w:r>
        <w:rPr>
          <w:rFonts w:hint="eastAsia"/>
          <w:kern w:val="0"/>
        </w:rPr>
        <w:t>（</w:t>
      </w:r>
      <w:r>
        <w:rPr>
          <w:rFonts w:hint="eastAsia"/>
          <w:kern w:val="0"/>
        </w:rPr>
        <w:t>4</w:t>
      </w:r>
      <w:r>
        <w:rPr>
          <w:rFonts w:hint="eastAsia"/>
          <w:kern w:val="0"/>
        </w:rPr>
        <w:t>）基金管理人可以在基金合同约定的范围内调整费率或收费方式，并最迟应于新的费率或收费方式实施前依照《信息披露办法》的有关规定在指定媒介上公告。</w:t>
      </w:r>
    </w:p>
    <w:p w:rsidR="005E0B0F" w:rsidRDefault="005E0B0F">
      <w:pPr>
        <w:widowControl/>
        <w:tabs>
          <w:tab w:val="left" w:pos="284"/>
          <w:tab w:val="left" w:pos="426"/>
        </w:tabs>
        <w:adjustRightInd w:val="0"/>
        <w:snapToGrid w:val="0"/>
        <w:spacing w:line="360" w:lineRule="auto"/>
        <w:rPr>
          <w:kern w:val="0"/>
        </w:rPr>
      </w:pPr>
    </w:p>
    <w:p w:rsidR="005E0B0F" w:rsidRDefault="00600BDB">
      <w:pPr>
        <w:autoSpaceDE w:val="0"/>
        <w:autoSpaceDN w:val="0"/>
        <w:adjustRightInd w:val="0"/>
        <w:spacing w:before="30" w:line="360" w:lineRule="auto"/>
        <w:ind w:left="15"/>
        <w:rPr>
          <w:rFonts w:ascii="Times New Roman" w:hAnsi="Times New Roman" w:cs="Times New Roman"/>
          <w:b/>
          <w:bCs/>
          <w:color w:val="000000"/>
          <w:kern w:val="0"/>
        </w:rPr>
      </w:pPr>
      <w:r>
        <w:rPr>
          <w:rFonts w:ascii="Times New Roman" w:hAnsi="Times New Roman" w:cs="Times New Roman"/>
          <w:b/>
          <w:bCs/>
          <w:color w:val="000000"/>
          <w:kern w:val="0"/>
        </w:rPr>
        <w:t xml:space="preserve">4 </w:t>
      </w:r>
      <w:r>
        <w:rPr>
          <w:rFonts w:ascii="Times New Roman" w:hAnsi="Times New Roman" w:hint="eastAsia"/>
          <w:b/>
          <w:bCs/>
          <w:color w:val="000000"/>
          <w:kern w:val="0"/>
        </w:rPr>
        <w:t>日常赎回业务</w:t>
      </w:r>
    </w:p>
    <w:p w:rsidR="005E0B0F" w:rsidRDefault="00600BDB">
      <w:pPr>
        <w:autoSpaceDE w:val="0"/>
        <w:autoSpaceDN w:val="0"/>
        <w:adjustRightInd w:val="0"/>
        <w:spacing w:before="29" w:line="360" w:lineRule="auto"/>
        <w:ind w:left="15"/>
        <w:rPr>
          <w:rFonts w:ascii="Times New Roman" w:hAnsi="Times New Roman" w:cs="Times New Roman"/>
          <w:b/>
          <w:bCs/>
          <w:color w:val="000000"/>
          <w:kern w:val="0"/>
        </w:rPr>
      </w:pPr>
      <w:r>
        <w:rPr>
          <w:rFonts w:ascii="Times New Roman" w:hAnsi="Times New Roman" w:cs="Times New Roman"/>
          <w:b/>
          <w:bCs/>
          <w:color w:val="000000"/>
          <w:kern w:val="0"/>
        </w:rPr>
        <w:t xml:space="preserve">4.1 </w:t>
      </w:r>
      <w:r>
        <w:rPr>
          <w:rFonts w:ascii="Times New Roman" w:hAnsi="Times New Roman" w:hint="eastAsia"/>
          <w:b/>
          <w:bCs/>
          <w:color w:val="000000"/>
          <w:kern w:val="0"/>
        </w:rPr>
        <w:t>赎回份额限制</w:t>
      </w:r>
    </w:p>
    <w:p w:rsidR="005E0B0F" w:rsidRDefault="00600BDB">
      <w:pPr>
        <w:autoSpaceDE w:val="0"/>
        <w:autoSpaceDN w:val="0"/>
        <w:adjustRightInd w:val="0"/>
        <w:spacing w:before="29" w:line="360" w:lineRule="auto"/>
        <w:ind w:left="17" w:firstLineChars="200" w:firstLine="420"/>
        <w:rPr>
          <w:rFonts w:hAnsi="宋体" w:cs="Calibri"/>
          <w:kern w:val="0"/>
        </w:rPr>
      </w:pPr>
      <w:r>
        <w:rPr>
          <w:rFonts w:hAnsi="宋体" w:cs="Calibri" w:hint="eastAsia"/>
          <w:kern w:val="0"/>
        </w:rPr>
        <w:t>基金份额持有人在销售机构赎回时，每次对本基金的赎回申请不得低于</w:t>
      </w:r>
      <w:r>
        <w:rPr>
          <w:rFonts w:hAnsi="宋体" w:cs="Calibri" w:hint="eastAsia"/>
          <w:kern w:val="0"/>
        </w:rPr>
        <w:t xml:space="preserve"> 1 </w:t>
      </w:r>
      <w:r>
        <w:rPr>
          <w:rFonts w:hAnsi="宋体" w:cs="Calibri" w:hint="eastAsia"/>
          <w:kern w:val="0"/>
        </w:rPr>
        <w:t>份。本基金基金份额持有人每个交易账户的最低份额余额为</w:t>
      </w:r>
      <w:r>
        <w:rPr>
          <w:rFonts w:hAnsi="宋体" w:cs="Calibri" w:hint="eastAsia"/>
          <w:kern w:val="0"/>
        </w:rPr>
        <w:t xml:space="preserve"> 1 </w:t>
      </w:r>
      <w:r>
        <w:rPr>
          <w:rFonts w:hAnsi="宋体" w:cs="Calibri" w:hint="eastAsia"/>
          <w:kern w:val="0"/>
        </w:rPr>
        <w:t>份。基金份额持有人因赎回、转换等原因导致其单个基金账户内剩余的基金份额低于</w:t>
      </w:r>
      <w:r>
        <w:rPr>
          <w:rFonts w:hAnsi="宋体" w:cs="Calibri" w:hint="eastAsia"/>
          <w:kern w:val="0"/>
        </w:rPr>
        <w:t xml:space="preserve"> 1 </w:t>
      </w:r>
      <w:r>
        <w:rPr>
          <w:rFonts w:hAnsi="宋体" w:cs="Calibri" w:hint="eastAsia"/>
          <w:kern w:val="0"/>
        </w:rPr>
        <w:t>份时，登记机构可对该剩余的基金份额自动进行强制赎回处理。</w:t>
      </w:r>
    </w:p>
    <w:p w:rsidR="005E0B0F" w:rsidRDefault="00600BDB">
      <w:pPr>
        <w:autoSpaceDE w:val="0"/>
        <w:autoSpaceDN w:val="0"/>
        <w:adjustRightInd w:val="0"/>
        <w:spacing w:before="29" w:line="360" w:lineRule="auto"/>
        <w:ind w:left="15"/>
        <w:rPr>
          <w:rFonts w:ascii="Times New Roman" w:hAnsi="Times New Roman"/>
          <w:b/>
          <w:bCs/>
          <w:color w:val="000000"/>
          <w:kern w:val="0"/>
        </w:rPr>
      </w:pPr>
      <w:r>
        <w:rPr>
          <w:rFonts w:ascii="Times New Roman" w:hAnsi="Times New Roman"/>
          <w:b/>
          <w:bCs/>
          <w:color w:val="000000"/>
          <w:kern w:val="0"/>
        </w:rPr>
        <w:t xml:space="preserve">4.2 </w:t>
      </w:r>
      <w:r>
        <w:rPr>
          <w:rFonts w:ascii="Times New Roman" w:hAnsi="Times New Roman" w:hint="eastAsia"/>
          <w:b/>
          <w:bCs/>
          <w:color w:val="000000"/>
          <w:kern w:val="0"/>
        </w:rPr>
        <w:t>赎回费率</w:t>
      </w:r>
    </w:p>
    <w:p w:rsidR="005E0B0F" w:rsidRDefault="00600BDB">
      <w:pPr>
        <w:widowControl/>
        <w:adjustRightInd w:val="0"/>
        <w:snapToGrid w:val="0"/>
        <w:spacing w:line="360" w:lineRule="auto"/>
        <w:ind w:firstLineChars="200" w:firstLine="420"/>
        <w:rPr>
          <w:rFonts w:hAnsi="宋体"/>
        </w:rPr>
      </w:pPr>
      <w:r>
        <w:rPr>
          <w:rFonts w:hAnsi="宋体" w:hint="eastAsia"/>
        </w:rPr>
        <w:t>本基金的赎回费率按持有时间递减。投资者在一天之内如果有多笔赎回，适用费率按单笔分别计算。赎回费用由赎回基金份额的基金份额持有人承担，在基金份额持有人赎回基金份额时收取。</w:t>
      </w:r>
    </w:p>
    <w:p w:rsidR="005E0B0F" w:rsidRDefault="00600BDB">
      <w:pPr>
        <w:widowControl/>
        <w:adjustRightInd w:val="0"/>
        <w:snapToGrid w:val="0"/>
        <w:spacing w:line="360" w:lineRule="auto"/>
        <w:ind w:firstLineChars="200" w:firstLine="420"/>
        <w:rPr>
          <w:rFonts w:hAnsi="宋体"/>
          <w:b/>
        </w:rPr>
      </w:pPr>
      <w:r>
        <w:rPr>
          <w:rFonts w:hAnsi="宋体" w:hint="eastAsia"/>
        </w:rPr>
        <w:t>本基金基金份额赎回费率如下表所示：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0"/>
      </w:tblGrid>
      <w:tr w:rsidR="005E0B0F">
        <w:trPr>
          <w:jc w:val="center"/>
        </w:trPr>
        <w:tc>
          <w:tcPr>
            <w:tcW w:w="2552" w:type="dxa"/>
          </w:tcPr>
          <w:p w:rsidR="005E0B0F" w:rsidRDefault="00600BDB">
            <w:pPr>
              <w:widowControl/>
              <w:adjustRightInd w:val="0"/>
              <w:snapToGrid w:val="0"/>
              <w:spacing w:line="360" w:lineRule="auto"/>
              <w:rPr>
                <w:rFonts w:hAnsi="宋体"/>
                <w:b/>
              </w:rPr>
            </w:pPr>
            <w:r>
              <w:rPr>
                <w:rFonts w:hAnsi="宋体" w:hint="eastAsia"/>
                <w:b/>
              </w:rPr>
              <w:t>持有期限（</w:t>
            </w:r>
            <w:r>
              <w:rPr>
                <w:rFonts w:hAnsi="宋体" w:hint="eastAsia"/>
                <w:b/>
              </w:rPr>
              <w:t>Y</w:t>
            </w:r>
            <w:r>
              <w:rPr>
                <w:rFonts w:hAnsi="宋体" w:hint="eastAsia"/>
                <w:b/>
              </w:rPr>
              <w:t>）</w:t>
            </w:r>
          </w:p>
        </w:tc>
        <w:tc>
          <w:tcPr>
            <w:tcW w:w="2970" w:type="dxa"/>
          </w:tcPr>
          <w:p w:rsidR="005E0B0F" w:rsidRDefault="00600BDB">
            <w:pPr>
              <w:widowControl/>
              <w:adjustRightInd w:val="0"/>
              <w:snapToGrid w:val="0"/>
              <w:spacing w:line="360" w:lineRule="auto"/>
              <w:rPr>
                <w:rFonts w:hAnsi="宋体"/>
                <w:b/>
              </w:rPr>
            </w:pPr>
            <w:r>
              <w:rPr>
                <w:rFonts w:hAnsi="宋体" w:hint="eastAsia"/>
                <w:b/>
              </w:rPr>
              <w:t>赎回费率</w:t>
            </w:r>
          </w:p>
        </w:tc>
      </w:tr>
      <w:tr w:rsidR="005E0B0F">
        <w:trPr>
          <w:jc w:val="center"/>
        </w:trPr>
        <w:tc>
          <w:tcPr>
            <w:tcW w:w="2552" w:type="dxa"/>
            <w:vAlign w:val="center"/>
          </w:tcPr>
          <w:p w:rsidR="005E0B0F" w:rsidRDefault="00600BDB">
            <w:pPr>
              <w:widowControl/>
              <w:adjustRightInd w:val="0"/>
              <w:snapToGrid w:val="0"/>
              <w:spacing w:line="360" w:lineRule="auto"/>
              <w:rPr>
                <w:rFonts w:hAnsi="宋体"/>
              </w:rPr>
            </w:pPr>
            <w:r>
              <w:rPr>
                <w:rFonts w:hAnsi="宋体"/>
              </w:rPr>
              <w:t>Y&lt;7</w:t>
            </w:r>
            <w:r>
              <w:rPr>
                <w:rFonts w:hAnsi="宋体" w:hint="eastAsia"/>
              </w:rPr>
              <w:t>日</w:t>
            </w:r>
          </w:p>
        </w:tc>
        <w:tc>
          <w:tcPr>
            <w:tcW w:w="2970" w:type="dxa"/>
            <w:vAlign w:val="center"/>
          </w:tcPr>
          <w:p w:rsidR="005E0B0F" w:rsidRDefault="00600BDB">
            <w:pPr>
              <w:widowControl/>
              <w:adjustRightInd w:val="0"/>
              <w:snapToGrid w:val="0"/>
              <w:spacing w:line="360" w:lineRule="auto"/>
              <w:rPr>
                <w:rFonts w:hAnsi="宋体"/>
              </w:rPr>
            </w:pPr>
            <w:r>
              <w:rPr>
                <w:rFonts w:hAnsi="宋体"/>
              </w:rPr>
              <w:t>1.50%</w:t>
            </w:r>
          </w:p>
        </w:tc>
      </w:tr>
      <w:tr w:rsidR="005E0B0F">
        <w:trPr>
          <w:jc w:val="center"/>
        </w:trPr>
        <w:tc>
          <w:tcPr>
            <w:tcW w:w="2552" w:type="dxa"/>
            <w:vAlign w:val="center"/>
          </w:tcPr>
          <w:p w:rsidR="005E0B0F" w:rsidRDefault="00600BDB">
            <w:pPr>
              <w:widowControl/>
              <w:adjustRightInd w:val="0"/>
              <w:snapToGrid w:val="0"/>
              <w:spacing w:line="360" w:lineRule="auto"/>
              <w:rPr>
                <w:rFonts w:hAnsi="宋体"/>
              </w:rPr>
            </w:pPr>
            <w:r>
              <w:rPr>
                <w:rFonts w:hAnsi="宋体"/>
              </w:rPr>
              <w:t>7</w:t>
            </w:r>
            <w:r>
              <w:rPr>
                <w:rFonts w:hAnsi="宋体" w:hint="eastAsia"/>
              </w:rPr>
              <w:t>日≤</w:t>
            </w:r>
            <w:r>
              <w:rPr>
                <w:rFonts w:hAnsi="宋体"/>
              </w:rPr>
              <w:t>Y&lt;30</w:t>
            </w:r>
            <w:r>
              <w:rPr>
                <w:rFonts w:hAnsi="宋体" w:hint="eastAsia"/>
              </w:rPr>
              <w:t>日</w:t>
            </w:r>
          </w:p>
        </w:tc>
        <w:tc>
          <w:tcPr>
            <w:tcW w:w="2970" w:type="dxa"/>
            <w:vAlign w:val="center"/>
          </w:tcPr>
          <w:p w:rsidR="005E0B0F" w:rsidRDefault="00600BDB">
            <w:pPr>
              <w:widowControl/>
              <w:adjustRightInd w:val="0"/>
              <w:snapToGrid w:val="0"/>
              <w:spacing w:line="360" w:lineRule="auto"/>
              <w:rPr>
                <w:rFonts w:hAnsi="宋体"/>
              </w:rPr>
            </w:pPr>
            <w:r>
              <w:rPr>
                <w:rFonts w:hAnsi="宋体"/>
              </w:rPr>
              <w:t>0.75%</w:t>
            </w:r>
          </w:p>
        </w:tc>
      </w:tr>
      <w:tr w:rsidR="005E0B0F">
        <w:trPr>
          <w:jc w:val="center"/>
        </w:trPr>
        <w:tc>
          <w:tcPr>
            <w:tcW w:w="2552" w:type="dxa"/>
            <w:vAlign w:val="center"/>
          </w:tcPr>
          <w:p w:rsidR="005E0B0F" w:rsidRDefault="00600BDB">
            <w:pPr>
              <w:widowControl/>
              <w:adjustRightInd w:val="0"/>
              <w:snapToGrid w:val="0"/>
              <w:spacing w:line="360" w:lineRule="auto"/>
              <w:rPr>
                <w:rFonts w:hAnsi="宋体"/>
              </w:rPr>
            </w:pPr>
            <w:r>
              <w:rPr>
                <w:rFonts w:hAnsi="宋体"/>
              </w:rPr>
              <w:t>30</w:t>
            </w:r>
            <w:r>
              <w:rPr>
                <w:rFonts w:hAnsi="宋体" w:hint="eastAsia"/>
              </w:rPr>
              <w:t>日≤</w:t>
            </w:r>
            <w:r>
              <w:rPr>
                <w:rFonts w:hAnsi="宋体"/>
              </w:rPr>
              <w:t>Y&lt;6</w:t>
            </w:r>
            <w:r>
              <w:rPr>
                <w:rFonts w:hAnsi="宋体" w:hint="eastAsia"/>
              </w:rPr>
              <w:t>个月</w:t>
            </w:r>
          </w:p>
        </w:tc>
        <w:tc>
          <w:tcPr>
            <w:tcW w:w="2970" w:type="dxa"/>
            <w:vAlign w:val="center"/>
          </w:tcPr>
          <w:p w:rsidR="005E0B0F" w:rsidRDefault="00600BDB">
            <w:pPr>
              <w:widowControl/>
              <w:adjustRightInd w:val="0"/>
              <w:snapToGrid w:val="0"/>
              <w:spacing w:line="360" w:lineRule="auto"/>
              <w:rPr>
                <w:rFonts w:hAnsi="宋体"/>
              </w:rPr>
            </w:pPr>
            <w:r>
              <w:rPr>
                <w:rFonts w:hAnsi="宋体"/>
              </w:rPr>
              <w:t>0.50</w:t>
            </w:r>
            <w:r>
              <w:rPr>
                <w:rFonts w:hAnsi="宋体" w:hint="eastAsia"/>
              </w:rPr>
              <w:t>%</w:t>
            </w:r>
          </w:p>
        </w:tc>
      </w:tr>
      <w:tr w:rsidR="005E0B0F">
        <w:trPr>
          <w:jc w:val="center"/>
        </w:trPr>
        <w:tc>
          <w:tcPr>
            <w:tcW w:w="2552" w:type="dxa"/>
            <w:vAlign w:val="center"/>
          </w:tcPr>
          <w:p w:rsidR="005E0B0F" w:rsidRDefault="00600BDB">
            <w:pPr>
              <w:widowControl/>
              <w:adjustRightInd w:val="0"/>
              <w:snapToGrid w:val="0"/>
              <w:spacing w:line="360" w:lineRule="auto"/>
              <w:rPr>
                <w:rFonts w:hAnsi="宋体"/>
              </w:rPr>
            </w:pPr>
            <w:r>
              <w:rPr>
                <w:rFonts w:hAnsi="宋体"/>
              </w:rPr>
              <w:t>Y</w:t>
            </w:r>
            <w:r>
              <w:rPr>
                <w:rFonts w:hAnsi="宋体" w:hint="eastAsia"/>
              </w:rPr>
              <w:t>≥</w:t>
            </w:r>
            <w:r>
              <w:rPr>
                <w:rFonts w:hAnsi="宋体"/>
              </w:rPr>
              <w:t>6</w:t>
            </w:r>
            <w:r>
              <w:rPr>
                <w:rFonts w:hAnsi="宋体" w:hint="eastAsia"/>
              </w:rPr>
              <w:t>个月</w:t>
            </w:r>
          </w:p>
        </w:tc>
        <w:tc>
          <w:tcPr>
            <w:tcW w:w="2970" w:type="dxa"/>
            <w:vAlign w:val="center"/>
          </w:tcPr>
          <w:p w:rsidR="005E0B0F" w:rsidRDefault="00600BDB">
            <w:pPr>
              <w:widowControl/>
              <w:adjustRightInd w:val="0"/>
              <w:snapToGrid w:val="0"/>
              <w:spacing w:line="360" w:lineRule="auto"/>
              <w:rPr>
                <w:rFonts w:hAnsi="宋体"/>
              </w:rPr>
            </w:pPr>
            <w:r>
              <w:rPr>
                <w:rFonts w:hAnsi="宋体" w:hint="eastAsia"/>
              </w:rPr>
              <w:t>0</w:t>
            </w:r>
          </w:p>
        </w:tc>
      </w:tr>
    </w:tbl>
    <w:p w:rsidR="005E0B0F" w:rsidRDefault="00600BDB">
      <w:pPr>
        <w:widowControl/>
        <w:adjustRightInd w:val="0"/>
        <w:snapToGrid w:val="0"/>
        <w:spacing w:line="360" w:lineRule="auto"/>
        <w:ind w:firstLineChars="200" w:firstLine="420"/>
        <w:rPr>
          <w:rFonts w:hAnsi="宋体"/>
        </w:rPr>
      </w:pPr>
      <w:r>
        <w:rPr>
          <w:rFonts w:hAnsi="宋体" w:hint="eastAsia"/>
        </w:rPr>
        <w:t>对持续持有期少于</w:t>
      </w:r>
      <w:r>
        <w:rPr>
          <w:rFonts w:hAnsi="宋体" w:hint="eastAsia"/>
        </w:rPr>
        <w:t xml:space="preserve"> 30 </w:t>
      </w:r>
      <w:r>
        <w:rPr>
          <w:rFonts w:hAnsi="宋体" w:hint="eastAsia"/>
        </w:rPr>
        <w:t>日的基金份额持有人收取的赎回费全额计入基金财产；对持续持有期不少于</w:t>
      </w:r>
      <w:r>
        <w:rPr>
          <w:rFonts w:hAnsi="宋体" w:hint="eastAsia"/>
        </w:rPr>
        <w:t xml:space="preserve"> 30 </w:t>
      </w:r>
      <w:r>
        <w:rPr>
          <w:rFonts w:hAnsi="宋体" w:hint="eastAsia"/>
        </w:rPr>
        <w:t>日但少于</w:t>
      </w:r>
      <w:r>
        <w:rPr>
          <w:rFonts w:hAnsi="宋体" w:hint="eastAsia"/>
        </w:rPr>
        <w:t xml:space="preserve"> 3 </w:t>
      </w:r>
      <w:r>
        <w:rPr>
          <w:rFonts w:hAnsi="宋体" w:hint="eastAsia"/>
        </w:rPr>
        <w:t>个月的基金份额持有人收取的赎回费总额的</w:t>
      </w:r>
      <w:r>
        <w:rPr>
          <w:rFonts w:hAnsi="宋体" w:hint="eastAsia"/>
        </w:rPr>
        <w:t>75%</w:t>
      </w:r>
      <w:r>
        <w:rPr>
          <w:rFonts w:hAnsi="宋体" w:hint="eastAsia"/>
        </w:rPr>
        <w:t>计入基金财产；对持续持有期不少于</w:t>
      </w:r>
      <w:r>
        <w:rPr>
          <w:rFonts w:hAnsi="宋体" w:hint="eastAsia"/>
        </w:rPr>
        <w:t xml:space="preserve"> 3 </w:t>
      </w:r>
      <w:r>
        <w:rPr>
          <w:rFonts w:hAnsi="宋体" w:hint="eastAsia"/>
        </w:rPr>
        <w:t>个月但少于</w:t>
      </w:r>
      <w:r>
        <w:rPr>
          <w:rFonts w:hAnsi="宋体" w:hint="eastAsia"/>
        </w:rPr>
        <w:t xml:space="preserve"> 6 </w:t>
      </w:r>
      <w:r>
        <w:rPr>
          <w:rFonts w:hAnsi="宋体" w:hint="eastAsia"/>
        </w:rPr>
        <w:t>个月的基金份额持有人收取的赎回费总额的</w:t>
      </w:r>
      <w:r>
        <w:rPr>
          <w:rFonts w:hAnsi="宋体" w:hint="eastAsia"/>
        </w:rPr>
        <w:t xml:space="preserve"> 50%</w:t>
      </w:r>
      <w:r>
        <w:rPr>
          <w:rFonts w:hAnsi="宋体" w:hint="eastAsia"/>
        </w:rPr>
        <w:t>计入基金财产。上述未纳入基金财产的赎回费用于支付登记费和其他必要的手续费。</w:t>
      </w:r>
    </w:p>
    <w:p w:rsidR="005E0B0F" w:rsidRDefault="00600BDB">
      <w:pPr>
        <w:autoSpaceDE w:val="0"/>
        <w:autoSpaceDN w:val="0"/>
        <w:adjustRightInd w:val="0"/>
        <w:spacing w:before="29" w:line="360" w:lineRule="auto"/>
        <w:ind w:left="15"/>
        <w:rPr>
          <w:rFonts w:hAnsi="宋体"/>
        </w:rPr>
      </w:pPr>
      <w:r>
        <w:rPr>
          <w:rFonts w:hAnsi="宋体" w:hint="eastAsia"/>
        </w:rPr>
        <w:t>注：</w:t>
      </w:r>
      <w:r>
        <w:rPr>
          <w:rFonts w:hAnsi="宋体" w:hint="eastAsia"/>
        </w:rPr>
        <w:t xml:space="preserve">1 </w:t>
      </w:r>
      <w:r>
        <w:rPr>
          <w:rFonts w:hAnsi="宋体" w:hint="eastAsia"/>
        </w:rPr>
        <w:t>个月为</w:t>
      </w:r>
      <w:r>
        <w:rPr>
          <w:rFonts w:hAnsi="宋体" w:hint="eastAsia"/>
        </w:rPr>
        <w:t xml:space="preserve"> 30 </w:t>
      </w:r>
      <w:r>
        <w:rPr>
          <w:rFonts w:hAnsi="宋体" w:hint="eastAsia"/>
        </w:rPr>
        <w:t>日。</w:t>
      </w:r>
    </w:p>
    <w:p w:rsidR="005E0B0F" w:rsidRDefault="00600BDB">
      <w:pPr>
        <w:autoSpaceDE w:val="0"/>
        <w:autoSpaceDN w:val="0"/>
        <w:adjustRightInd w:val="0"/>
        <w:spacing w:before="29" w:line="360" w:lineRule="auto"/>
        <w:ind w:left="15"/>
        <w:rPr>
          <w:rFonts w:hAnsi="宋体"/>
          <w:b/>
        </w:rPr>
      </w:pPr>
      <w:r>
        <w:rPr>
          <w:rFonts w:hAnsi="宋体"/>
          <w:b/>
        </w:rPr>
        <w:t xml:space="preserve">4.3 </w:t>
      </w:r>
      <w:r>
        <w:rPr>
          <w:rFonts w:hAnsi="宋体" w:hint="eastAsia"/>
          <w:b/>
        </w:rPr>
        <w:t>其他与赎回相关的事项</w:t>
      </w:r>
    </w:p>
    <w:p w:rsidR="005E0B0F" w:rsidRDefault="00600BDB">
      <w:pPr>
        <w:autoSpaceDE w:val="0"/>
        <w:autoSpaceDN w:val="0"/>
        <w:adjustRightInd w:val="0"/>
        <w:spacing w:before="29" w:line="360" w:lineRule="auto"/>
        <w:ind w:left="15" w:firstLineChars="200" w:firstLine="420"/>
        <w:rPr>
          <w:rFonts w:hAnsi="宋体"/>
        </w:rPr>
      </w:pPr>
      <w:r>
        <w:rPr>
          <w:rFonts w:hAnsi="宋体" w:hint="eastAsia"/>
        </w:rPr>
        <w:t>基金管理人可以在基金合同约定的范围内调整费率或收费方式，并最迟应于新的费率或收费方式实施前依照《信息披露办法》的有关规定在指定媒介公上告。</w:t>
      </w:r>
    </w:p>
    <w:p w:rsidR="005E0B0F" w:rsidRDefault="005E0B0F">
      <w:pPr>
        <w:autoSpaceDE w:val="0"/>
        <w:autoSpaceDN w:val="0"/>
        <w:adjustRightInd w:val="0"/>
        <w:spacing w:before="29" w:line="360" w:lineRule="auto"/>
        <w:ind w:left="15" w:firstLineChars="200" w:firstLine="420"/>
        <w:rPr>
          <w:rFonts w:hAnsi="宋体"/>
        </w:rPr>
      </w:pPr>
    </w:p>
    <w:p w:rsidR="005E0B0F" w:rsidRDefault="00600BDB">
      <w:pPr>
        <w:autoSpaceDE w:val="0"/>
        <w:autoSpaceDN w:val="0"/>
        <w:adjustRightInd w:val="0"/>
        <w:spacing w:before="29" w:line="360" w:lineRule="auto"/>
        <w:ind w:left="15"/>
        <w:rPr>
          <w:rFonts w:ascii="Times New Roman" w:hAnsi="Times New Roman" w:cs="Times New Roman"/>
          <w:b/>
          <w:bCs/>
          <w:color w:val="000000"/>
          <w:kern w:val="0"/>
        </w:rPr>
      </w:pPr>
      <w:r>
        <w:rPr>
          <w:rFonts w:ascii="Times New Roman" w:hAnsi="Times New Roman" w:cs="Times New Roman"/>
          <w:b/>
          <w:bCs/>
          <w:color w:val="000000"/>
          <w:kern w:val="0"/>
        </w:rPr>
        <w:t xml:space="preserve">5 </w:t>
      </w:r>
      <w:r>
        <w:rPr>
          <w:rFonts w:ascii="Times New Roman" w:hAnsi="Times New Roman" w:hint="eastAsia"/>
          <w:b/>
          <w:bCs/>
          <w:color w:val="000000"/>
          <w:kern w:val="0"/>
        </w:rPr>
        <w:t>基金销售机构</w:t>
      </w:r>
    </w:p>
    <w:p w:rsidR="005E0B0F" w:rsidRDefault="00600BDB">
      <w:pPr>
        <w:autoSpaceDE w:val="0"/>
        <w:autoSpaceDN w:val="0"/>
        <w:adjustRightInd w:val="0"/>
        <w:spacing w:before="29" w:line="360" w:lineRule="auto"/>
        <w:ind w:left="15"/>
        <w:rPr>
          <w:rFonts w:ascii="Times New Roman" w:hAnsi="Times New Roman" w:cs="Times New Roman"/>
          <w:b/>
          <w:bCs/>
          <w:color w:val="000000"/>
          <w:kern w:val="0"/>
        </w:rPr>
      </w:pPr>
      <w:r>
        <w:rPr>
          <w:rFonts w:ascii="Times New Roman" w:hAnsi="Times New Roman" w:cs="Times New Roman"/>
          <w:b/>
          <w:bCs/>
          <w:color w:val="000000"/>
          <w:kern w:val="0"/>
        </w:rPr>
        <w:t xml:space="preserve">5.1 </w:t>
      </w:r>
      <w:r>
        <w:rPr>
          <w:rFonts w:ascii="Times New Roman" w:hAnsi="Times New Roman" w:hint="eastAsia"/>
          <w:b/>
          <w:bCs/>
          <w:color w:val="000000"/>
          <w:kern w:val="0"/>
        </w:rPr>
        <w:t>场外销售机构</w:t>
      </w:r>
    </w:p>
    <w:p w:rsidR="005E0B0F" w:rsidRDefault="00600BDB">
      <w:pPr>
        <w:autoSpaceDE w:val="0"/>
        <w:autoSpaceDN w:val="0"/>
        <w:adjustRightInd w:val="0"/>
        <w:spacing w:before="29" w:line="360" w:lineRule="auto"/>
        <w:ind w:left="15"/>
        <w:rPr>
          <w:rFonts w:ascii="Times New Roman" w:hAnsi="Times New Roman" w:cs="Times New Roman"/>
          <w:b/>
          <w:bCs/>
          <w:color w:val="000000"/>
          <w:kern w:val="0"/>
        </w:rPr>
      </w:pPr>
      <w:r>
        <w:rPr>
          <w:rFonts w:ascii="Times New Roman" w:hAnsi="Times New Roman" w:cs="Times New Roman"/>
          <w:b/>
          <w:bCs/>
          <w:color w:val="000000"/>
          <w:kern w:val="0"/>
        </w:rPr>
        <w:t xml:space="preserve">5.1.1 </w:t>
      </w:r>
      <w:r>
        <w:rPr>
          <w:rFonts w:ascii="Times New Roman" w:hAnsi="Times New Roman" w:hint="eastAsia"/>
          <w:b/>
          <w:bCs/>
          <w:color w:val="000000"/>
          <w:kern w:val="0"/>
        </w:rPr>
        <w:t>直销机构</w:t>
      </w:r>
    </w:p>
    <w:p w:rsidR="005E0B0F" w:rsidRDefault="00600BDB">
      <w:pPr>
        <w:autoSpaceDE w:val="0"/>
        <w:autoSpaceDN w:val="0"/>
        <w:adjustRightInd w:val="0"/>
        <w:spacing w:line="360" w:lineRule="auto"/>
        <w:rPr>
          <w:rFonts w:ascii="Times New Roman" w:hAnsi="Times New Roman" w:cs="Times New Roman"/>
          <w:color w:val="000000"/>
          <w:kern w:val="0"/>
        </w:rPr>
      </w:pPr>
      <w:r>
        <w:rPr>
          <w:rFonts w:hAnsi="宋体"/>
          <w:kern w:val="0"/>
        </w:rPr>
        <w:t xml:space="preserve">   </w:t>
      </w:r>
      <w:r>
        <w:rPr>
          <w:rFonts w:hAnsi="宋体" w:hint="eastAsia"/>
          <w:kern w:val="0"/>
        </w:rPr>
        <w:t>本基金直销机构为基金管理人直销柜台、基金管理人网上直销交易平台。本基金的申购、赎回等业务，具体交易细则请参阅基金管理人网站</w:t>
      </w:r>
      <w:r>
        <w:rPr>
          <w:rFonts w:hAnsi="宋体" w:hint="eastAsia"/>
          <w:kern w:val="0"/>
        </w:rPr>
        <w:t>www.ctzg.com</w:t>
      </w:r>
      <w:r>
        <w:rPr>
          <w:rFonts w:hAnsi="宋体" w:hint="eastAsia"/>
          <w:kern w:val="0"/>
        </w:rPr>
        <w:t>。</w:t>
      </w:r>
    </w:p>
    <w:p w:rsidR="005E0B0F" w:rsidRDefault="005E0B0F">
      <w:pPr>
        <w:autoSpaceDE w:val="0"/>
        <w:autoSpaceDN w:val="0"/>
        <w:adjustRightInd w:val="0"/>
        <w:spacing w:before="29" w:line="360" w:lineRule="auto"/>
        <w:rPr>
          <w:rFonts w:ascii="Times New Roman" w:hAnsi="Times New Roman" w:cs="Times New Roman"/>
          <w:b/>
          <w:bCs/>
          <w:color w:val="000000"/>
          <w:kern w:val="0"/>
        </w:rPr>
      </w:pPr>
    </w:p>
    <w:p w:rsidR="005E0B0F" w:rsidRDefault="00600BDB">
      <w:pPr>
        <w:autoSpaceDE w:val="0"/>
        <w:autoSpaceDN w:val="0"/>
        <w:adjustRightInd w:val="0"/>
        <w:spacing w:before="29" w:line="360" w:lineRule="auto"/>
        <w:ind w:left="15"/>
        <w:rPr>
          <w:rFonts w:ascii="Times New Roman" w:hAnsi="Times New Roman"/>
          <w:b/>
          <w:bCs/>
          <w:color w:val="000000"/>
          <w:kern w:val="0"/>
        </w:rPr>
      </w:pPr>
      <w:r>
        <w:rPr>
          <w:rFonts w:ascii="Times New Roman" w:hAnsi="Times New Roman" w:cs="Times New Roman"/>
          <w:b/>
          <w:bCs/>
          <w:color w:val="000000"/>
          <w:kern w:val="0"/>
        </w:rPr>
        <w:t xml:space="preserve">5.1.2 </w:t>
      </w:r>
      <w:r>
        <w:rPr>
          <w:rFonts w:ascii="Times New Roman" w:hAnsi="Times New Roman" w:hint="eastAsia"/>
          <w:b/>
          <w:bCs/>
          <w:color w:val="000000"/>
          <w:kern w:val="0"/>
        </w:rPr>
        <w:t>场外非直销机构</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5"/>
        <w:gridCol w:w="4140"/>
      </w:tblGrid>
      <w:tr w:rsidR="005E0B0F">
        <w:trPr>
          <w:trHeight w:val="29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color w:val="000000"/>
              </w:rPr>
            </w:pPr>
            <w:r>
              <w:rPr>
                <w:rFonts w:ascii="宋体" w:hAnsi="宋体" w:hint="eastAsia"/>
                <w:color w:val="000000"/>
              </w:rPr>
              <w:t>序号</w:t>
            </w:r>
          </w:p>
        </w:tc>
        <w:tc>
          <w:tcPr>
            <w:tcW w:w="4140" w:type="dxa"/>
            <w:tcMar>
              <w:top w:w="0" w:type="dxa"/>
              <w:left w:w="108" w:type="dxa"/>
              <w:bottom w:w="0" w:type="dxa"/>
              <w:right w:w="108" w:type="dxa"/>
            </w:tcMar>
            <w:vAlign w:val="center"/>
          </w:tcPr>
          <w:p w:rsidR="005E0B0F" w:rsidRDefault="00600BDB">
            <w:pPr>
              <w:spacing w:line="360" w:lineRule="auto"/>
              <w:jc w:val="center"/>
              <w:rPr>
                <w:rFonts w:ascii="宋体"/>
              </w:rPr>
            </w:pPr>
            <w:r>
              <w:rPr>
                <w:rFonts w:ascii="宋体" w:hAnsi="宋体" w:hint="eastAsia"/>
              </w:rPr>
              <w:t>代销机构</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color w:val="000000"/>
              </w:rPr>
              <w:t>1</w:t>
            </w:r>
          </w:p>
        </w:tc>
        <w:tc>
          <w:tcPr>
            <w:tcW w:w="4140" w:type="dxa"/>
            <w:tcMar>
              <w:top w:w="0" w:type="dxa"/>
              <w:left w:w="108" w:type="dxa"/>
              <w:bottom w:w="0" w:type="dxa"/>
              <w:right w:w="108" w:type="dxa"/>
            </w:tcMar>
            <w:vAlign w:val="center"/>
          </w:tcPr>
          <w:p w:rsidR="005E0B0F" w:rsidRDefault="00600BDB">
            <w:pPr>
              <w:spacing w:line="360" w:lineRule="auto"/>
              <w:jc w:val="center"/>
              <w:rPr>
                <w:rFonts w:ascii="宋体" w:hAnsi="宋体"/>
              </w:rPr>
            </w:pPr>
            <w:r>
              <w:rPr>
                <w:rFonts w:ascii="宋体" w:hAnsi="宋体" w:hint="eastAsia"/>
              </w:rPr>
              <w:t>兴业银行股份有限公司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color w:val="000000"/>
              </w:rPr>
              <w:t>2</w:t>
            </w:r>
          </w:p>
        </w:tc>
        <w:tc>
          <w:tcPr>
            <w:tcW w:w="4140" w:type="dxa"/>
            <w:tcMar>
              <w:top w:w="0" w:type="dxa"/>
              <w:left w:w="108" w:type="dxa"/>
              <w:bottom w:w="0" w:type="dxa"/>
              <w:right w:w="108" w:type="dxa"/>
            </w:tcMar>
            <w:vAlign w:val="center"/>
          </w:tcPr>
          <w:p w:rsidR="005E0B0F" w:rsidRDefault="00600BDB">
            <w:pPr>
              <w:spacing w:line="360" w:lineRule="auto"/>
              <w:jc w:val="center"/>
              <w:rPr>
                <w:rFonts w:ascii="宋体"/>
              </w:rPr>
            </w:pPr>
            <w:r>
              <w:rPr>
                <w:rFonts w:ascii="宋体" w:hint="eastAsia"/>
              </w:rPr>
              <w:t>财通证券股份有限公司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3</w:t>
            </w:r>
          </w:p>
        </w:tc>
        <w:tc>
          <w:tcPr>
            <w:tcW w:w="4140" w:type="dxa"/>
            <w:tcMar>
              <w:top w:w="0" w:type="dxa"/>
              <w:left w:w="108" w:type="dxa"/>
              <w:bottom w:w="0" w:type="dxa"/>
              <w:right w:w="108" w:type="dxa"/>
            </w:tcMar>
          </w:tcPr>
          <w:p w:rsidR="005E0B0F" w:rsidRDefault="00600BDB">
            <w:pPr>
              <w:spacing w:line="360" w:lineRule="auto"/>
              <w:jc w:val="center"/>
              <w:rPr>
                <w:rFonts w:ascii="宋体"/>
              </w:rPr>
            </w:pPr>
            <w:r>
              <w:rPr>
                <w:rFonts w:ascii="宋体" w:hint="eastAsia"/>
              </w:rPr>
              <w:t>龙江银行股份有限公司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4</w:t>
            </w:r>
          </w:p>
        </w:tc>
        <w:tc>
          <w:tcPr>
            <w:tcW w:w="4140" w:type="dxa"/>
            <w:tcMar>
              <w:top w:w="0" w:type="dxa"/>
              <w:left w:w="108" w:type="dxa"/>
              <w:bottom w:w="0" w:type="dxa"/>
              <w:right w:w="108" w:type="dxa"/>
            </w:tcMar>
          </w:tcPr>
          <w:p w:rsidR="005E0B0F" w:rsidRDefault="00600BDB">
            <w:pPr>
              <w:spacing w:line="360" w:lineRule="auto"/>
              <w:jc w:val="center"/>
              <w:rPr>
                <w:rFonts w:ascii="宋体"/>
              </w:rPr>
            </w:pPr>
            <w:r>
              <w:rPr>
                <w:rFonts w:ascii="宋体" w:hint="eastAsia"/>
              </w:rPr>
              <w:t>宁波银行股份有限公司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5</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杭州银行股份有限公司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6</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平安银行股份有限公司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7</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华宝证券股份有限公司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8</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德邦证券股份有限公司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9</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中信建投证券股份有限公司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1</w:t>
            </w:r>
            <w:r>
              <w:rPr>
                <w:rFonts w:ascii="宋体" w:hAnsi="宋体"/>
                <w:color w:val="000000"/>
              </w:rPr>
              <w:t>0</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光大证券股份有限公司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1</w:t>
            </w:r>
            <w:r>
              <w:rPr>
                <w:rFonts w:ascii="宋体" w:hAnsi="宋体"/>
                <w:color w:val="000000"/>
              </w:rPr>
              <w:t>1</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东吴证券股份有限公司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1</w:t>
            </w:r>
            <w:r>
              <w:rPr>
                <w:rFonts w:ascii="宋体" w:hAnsi="宋体"/>
                <w:color w:val="000000"/>
              </w:rPr>
              <w:t>2</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湘财证券股份有限公司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1</w:t>
            </w:r>
            <w:r>
              <w:rPr>
                <w:rFonts w:ascii="宋体" w:hAnsi="宋体"/>
                <w:color w:val="000000"/>
              </w:rPr>
              <w:t>3</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国信证券股份有限公司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1</w:t>
            </w:r>
            <w:r>
              <w:rPr>
                <w:rFonts w:ascii="宋体" w:hAnsi="宋体"/>
                <w:color w:val="000000"/>
              </w:rPr>
              <w:t>4</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上海证券有限责任公司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1</w:t>
            </w:r>
            <w:r>
              <w:rPr>
                <w:rFonts w:ascii="宋体" w:hAnsi="宋体"/>
                <w:color w:val="000000"/>
              </w:rPr>
              <w:t>5</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国金证券股份有限公司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1</w:t>
            </w:r>
            <w:r>
              <w:rPr>
                <w:rFonts w:ascii="宋体" w:hAnsi="宋体"/>
                <w:color w:val="000000"/>
              </w:rPr>
              <w:t>6</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上海基煜基金销售有限公司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1</w:t>
            </w:r>
            <w:r>
              <w:rPr>
                <w:rFonts w:ascii="宋体" w:hAnsi="宋体"/>
                <w:color w:val="000000"/>
              </w:rPr>
              <w:t>7</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北京汇成基金销售有限公司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1</w:t>
            </w:r>
            <w:r>
              <w:rPr>
                <w:rFonts w:ascii="宋体" w:hAnsi="宋体"/>
                <w:color w:val="000000"/>
              </w:rPr>
              <w:t>8</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ascii="宋体" w:hAnsi="宋体" w:hint="eastAsia"/>
              </w:rPr>
              <w:t>泰信财富基金销售有限公司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19</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hint="eastAsia"/>
              </w:rPr>
              <w:t>深圳新华信通基金销售有限公司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20</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hint="eastAsia"/>
              </w:rPr>
              <w:t>深圳市前海排排网基金销售有限责任公司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21</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hint="eastAsia"/>
              </w:rPr>
              <w:t>玄元保险代理有限公司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22</w:t>
            </w:r>
          </w:p>
        </w:tc>
        <w:tc>
          <w:tcPr>
            <w:tcW w:w="4140" w:type="dxa"/>
            <w:tcMar>
              <w:top w:w="0" w:type="dxa"/>
              <w:left w:w="108" w:type="dxa"/>
              <w:bottom w:w="0" w:type="dxa"/>
              <w:right w:w="108" w:type="dxa"/>
            </w:tcMar>
          </w:tcPr>
          <w:p w:rsidR="005E0B0F" w:rsidRDefault="00600BDB">
            <w:pPr>
              <w:spacing w:line="360" w:lineRule="auto"/>
              <w:jc w:val="center"/>
              <w:rPr>
                <w:rFonts w:ascii="宋体" w:hAnsi="宋体"/>
              </w:rPr>
            </w:pPr>
            <w:r>
              <w:rPr>
                <w:rFonts w:hint="eastAsia"/>
              </w:rPr>
              <w:t>博时财富基金销售有限公司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23</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上海爱建基金销售有限公司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24</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华瑞保险销售有限公司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25</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阳光人寿保险股份有限公司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26</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蚂蚁（杭州）基金销售有限公司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27</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诺亚正行基金销售有限公司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28</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上海汇付基金销售有限公司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29</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和耕传承基金销售有限公司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30</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上海天天基金销售有限公司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31</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北京虹点基金销售有限公司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32</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上海陆享基金销售有限公司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33</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大连网金基金销售有限公司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34</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南京苏宁基金销售有限公司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35</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上海好买基金销售有限公司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36</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天津国美基金销售有限公司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37</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通华财富（上海）基金销售有限公司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38</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浙江同花顺基金销售有限公司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39</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腾安基金销售（深圳）有限公司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40</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上海云湾基金销售有限公司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41</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民商基金销售（上海）有限公司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42</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北京新浪仓石基金销售有限公司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43</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北京雪球基金销售有限公司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44</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奕丰基金销售有限公司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45</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深圳众禄基金销售股份有限公司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46</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上海联泰基金销售有限公司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47</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上海中正达广基金销售有限公司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48</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北京中植基金销售有限公司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49</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中民财富基金销售（上海）有限公司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50</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乾道基金销售有限公司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51</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上海万得基金销售有限公司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52</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上海长量基金销售有限公司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53</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方德保险代理有限公司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54</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上海大智慧基金销售有限公司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55</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中证金牛（北京）基金销售有限公司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56</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上海挖财基金销售有限公司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57</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珠海盈米基金销售有限公司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58</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财咨道信息技术有限公司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59</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万家财富基金销售（天津）有限公司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60</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嘉实财富管理有限公司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61</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洪泰财富（青岛）基金销售有限责任公司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62</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上海陆金所基金销售有限公司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63</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江苏汇林保大基金销售有限公司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64</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上海利得基金销售有限公司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65</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京东肯特瑞基金销售有限公司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66</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深圳市新兰德证券投资咨询有限公司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67</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宜信普泽（北京）基金销售有限公司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68</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北京度小满基金销售有限公司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69</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和讯信息科技有限公司</w:t>
            </w:r>
          </w:p>
        </w:tc>
      </w:tr>
      <w:tr w:rsidR="005E0B0F">
        <w:trPr>
          <w:trHeight w:val="480"/>
          <w:jc w:val="center"/>
        </w:trPr>
        <w:tc>
          <w:tcPr>
            <w:tcW w:w="855" w:type="dxa"/>
            <w:tcMar>
              <w:top w:w="0" w:type="dxa"/>
              <w:left w:w="108" w:type="dxa"/>
              <w:bottom w:w="0" w:type="dxa"/>
              <w:right w:w="108" w:type="dxa"/>
            </w:tcMar>
          </w:tcPr>
          <w:p w:rsidR="005E0B0F" w:rsidRDefault="00600BDB">
            <w:pPr>
              <w:spacing w:line="360" w:lineRule="auto"/>
              <w:jc w:val="center"/>
              <w:rPr>
                <w:rFonts w:ascii="宋体" w:hAnsi="宋体"/>
                <w:color w:val="000000"/>
              </w:rPr>
            </w:pPr>
            <w:r>
              <w:rPr>
                <w:rFonts w:hint="eastAsia"/>
              </w:rPr>
              <w:t>70</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泛华普益基金销售有限公司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7</w:t>
            </w:r>
            <w:r>
              <w:rPr>
                <w:rFonts w:ascii="宋体" w:hAnsi="宋体"/>
                <w:color w:val="000000"/>
              </w:rPr>
              <w:t>1</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上海中欧财富基金销售有限公司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7</w:t>
            </w:r>
            <w:r>
              <w:rPr>
                <w:rFonts w:ascii="宋体" w:hAnsi="宋体"/>
                <w:color w:val="000000"/>
              </w:rPr>
              <w:t>2</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众惠基金销售有限公司</w:t>
            </w:r>
          </w:p>
        </w:tc>
      </w:tr>
      <w:tr w:rsidR="005E0B0F">
        <w:trPr>
          <w:trHeight w:val="480"/>
          <w:jc w:val="center"/>
        </w:trPr>
        <w:tc>
          <w:tcPr>
            <w:tcW w:w="855" w:type="dxa"/>
            <w:tcMar>
              <w:top w:w="0" w:type="dxa"/>
              <w:left w:w="108" w:type="dxa"/>
              <w:bottom w:w="0" w:type="dxa"/>
              <w:right w:w="108" w:type="dxa"/>
            </w:tcMar>
            <w:vAlign w:val="center"/>
          </w:tcPr>
          <w:p w:rsidR="005E0B0F" w:rsidRDefault="00600BDB">
            <w:pPr>
              <w:spacing w:line="360" w:lineRule="auto"/>
              <w:jc w:val="center"/>
              <w:rPr>
                <w:rFonts w:ascii="宋体" w:hAnsi="宋体"/>
                <w:color w:val="000000"/>
              </w:rPr>
            </w:pPr>
            <w:r>
              <w:rPr>
                <w:rFonts w:ascii="宋体" w:hAnsi="宋体" w:hint="eastAsia"/>
                <w:color w:val="000000"/>
              </w:rPr>
              <w:t>7</w:t>
            </w:r>
            <w:r>
              <w:rPr>
                <w:rFonts w:ascii="宋体" w:hAnsi="宋体"/>
                <w:color w:val="000000"/>
              </w:rPr>
              <w:t>3</w:t>
            </w:r>
          </w:p>
        </w:tc>
        <w:tc>
          <w:tcPr>
            <w:tcW w:w="4140" w:type="dxa"/>
            <w:tcMar>
              <w:top w:w="0" w:type="dxa"/>
              <w:left w:w="108" w:type="dxa"/>
              <w:bottom w:w="0" w:type="dxa"/>
              <w:right w:w="108" w:type="dxa"/>
            </w:tcMar>
          </w:tcPr>
          <w:p w:rsidR="005E0B0F" w:rsidRDefault="00600BDB">
            <w:pPr>
              <w:spacing w:line="360" w:lineRule="auto"/>
              <w:jc w:val="center"/>
            </w:pPr>
            <w:r>
              <w:rPr>
                <w:rFonts w:hint="eastAsia"/>
              </w:rPr>
              <w:t>鼎信汇金</w:t>
            </w:r>
            <w:r>
              <w:rPr>
                <w:rFonts w:hint="eastAsia"/>
              </w:rPr>
              <w:t>(</w:t>
            </w:r>
            <w:r>
              <w:rPr>
                <w:rFonts w:hint="eastAsia"/>
              </w:rPr>
              <w:t>北京</w:t>
            </w:r>
            <w:r>
              <w:rPr>
                <w:rFonts w:hint="eastAsia"/>
              </w:rPr>
              <w:t>)</w:t>
            </w:r>
            <w:r>
              <w:rPr>
                <w:rFonts w:hint="eastAsia"/>
              </w:rPr>
              <w:t>投资管理有限公司</w:t>
            </w:r>
          </w:p>
        </w:tc>
      </w:tr>
      <w:tr w:rsidR="004A0EEC">
        <w:trPr>
          <w:trHeight w:val="480"/>
          <w:jc w:val="center"/>
        </w:trPr>
        <w:tc>
          <w:tcPr>
            <w:tcW w:w="855" w:type="dxa"/>
            <w:tcMar>
              <w:top w:w="0" w:type="dxa"/>
              <w:left w:w="108" w:type="dxa"/>
              <w:bottom w:w="0" w:type="dxa"/>
              <w:right w:w="108" w:type="dxa"/>
            </w:tcMar>
            <w:vAlign w:val="center"/>
          </w:tcPr>
          <w:p w:rsidR="004A0EEC" w:rsidRDefault="004A0EEC">
            <w:pPr>
              <w:spacing w:line="360" w:lineRule="auto"/>
              <w:jc w:val="center"/>
              <w:rPr>
                <w:rFonts w:ascii="宋体" w:hAnsi="宋体"/>
                <w:color w:val="000000"/>
              </w:rPr>
            </w:pPr>
            <w:r>
              <w:rPr>
                <w:rFonts w:ascii="宋体" w:hAnsi="宋体" w:hint="eastAsia"/>
                <w:color w:val="000000"/>
              </w:rPr>
              <w:t>7</w:t>
            </w:r>
            <w:r>
              <w:rPr>
                <w:rFonts w:ascii="宋体" w:hAnsi="宋体"/>
                <w:color w:val="000000"/>
              </w:rPr>
              <w:t>4</w:t>
            </w:r>
          </w:p>
        </w:tc>
        <w:tc>
          <w:tcPr>
            <w:tcW w:w="4140" w:type="dxa"/>
            <w:tcMar>
              <w:top w:w="0" w:type="dxa"/>
              <w:left w:w="108" w:type="dxa"/>
              <w:bottom w:w="0" w:type="dxa"/>
              <w:right w:w="108" w:type="dxa"/>
            </w:tcMar>
          </w:tcPr>
          <w:p w:rsidR="004A0EEC" w:rsidRDefault="004A0EEC">
            <w:pPr>
              <w:spacing w:line="360" w:lineRule="auto"/>
              <w:jc w:val="center"/>
            </w:pPr>
            <w:r>
              <w:t>北京创金启富基金销售有限公司</w:t>
            </w:r>
          </w:p>
        </w:tc>
      </w:tr>
      <w:tr w:rsidR="004A0EEC">
        <w:trPr>
          <w:trHeight w:val="480"/>
          <w:jc w:val="center"/>
        </w:trPr>
        <w:tc>
          <w:tcPr>
            <w:tcW w:w="855" w:type="dxa"/>
            <w:tcMar>
              <w:top w:w="0" w:type="dxa"/>
              <w:left w:w="108" w:type="dxa"/>
              <w:bottom w:w="0" w:type="dxa"/>
              <w:right w:w="108" w:type="dxa"/>
            </w:tcMar>
            <w:vAlign w:val="center"/>
          </w:tcPr>
          <w:p w:rsidR="004A0EEC" w:rsidRDefault="004A0EEC">
            <w:pPr>
              <w:spacing w:line="360" w:lineRule="auto"/>
              <w:jc w:val="center"/>
              <w:rPr>
                <w:rFonts w:ascii="宋体" w:hAnsi="宋体"/>
                <w:color w:val="000000"/>
              </w:rPr>
            </w:pPr>
            <w:r>
              <w:rPr>
                <w:rFonts w:ascii="宋体" w:hAnsi="宋体" w:hint="eastAsia"/>
                <w:color w:val="000000"/>
              </w:rPr>
              <w:t>7</w:t>
            </w:r>
            <w:r>
              <w:rPr>
                <w:rFonts w:ascii="宋体" w:hAnsi="宋体"/>
                <w:color w:val="000000"/>
              </w:rPr>
              <w:t>5</w:t>
            </w:r>
          </w:p>
        </w:tc>
        <w:tc>
          <w:tcPr>
            <w:tcW w:w="4140" w:type="dxa"/>
            <w:tcMar>
              <w:top w:w="0" w:type="dxa"/>
              <w:left w:w="108" w:type="dxa"/>
              <w:bottom w:w="0" w:type="dxa"/>
              <w:right w:w="108" w:type="dxa"/>
            </w:tcMar>
          </w:tcPr>
          <w:p w:rsidR="004A0EEC" w:rsidRDefault="004A0EEC">
            <w:pPr>
              <w:spacing w:line="360" w:lineRule="auto"/>
              <w:jc w:val="center"/>
            </w:pPr>
            <w:r>
              <w:t>招商银行股份有限公司</w:t>
            </w:r>
            <w:r w:rsidR="00E73FA1">
              <w:rPr>
                <w:rFonts w:hint="eastAsia"/>
              </w:rPr>
              <w:t>（</w:t>
            </w:r>
            <w:bookmarkStart w:id="0" w:name="_GoBack"/>
            <w:r w:rsidR="00E73FA1">
              <w:rPr>
                <w:rFonts w:hint="eastAsia"/>
              </w:rPr>
              <w:t>招嬴通</w:t>
            </w:r>
            <w:bookmarkEnd w:id="0"/>
            <w:r w:rsidR="00E73FA1">
              <w:rPr>
                <w:rFonts w:hint="eastAsia"/>
              </w:rPr>
              <w:t>）</w:t>
            </w:r>
          </w:p>
        </w:tc>
      </w:tr>
    </w:tbl>
    <w:p w:rsidR="005E0B0F" w:rsidRDefault="005E0B0F">
      <w:pPr>
        <w:autoSpaceDE w:val="0"/>
        <w:autoSpaceDN w:val="0"/>
        <w:adjustRightInd w:val="0"/>
        <w:spacing w:line="360" w:lineRule="auto"/>
        <w:jc w:val="left"/>
        <w:rPr>
          <w:rFonts w:ascii="Times New Roman" w:hAnsi="Times New Roman" w:cs="Times New Roman"/>
          <w:color w:val="000000"/>
          <w:kern w:val="0"/>
        </w:rPr>
      </w:pPr>
    </w:p>
    <w:p w:rsidR="005E0B0F" w:rsidRDefault="00600BDB">
      <w:pPr>
        <w:pStyle w:val="ad"/>
        <w:numPr>
          <w:ilvl w:val="0"/>
          <w:numId w:val="1"/>
        </w:numPr>
        <w:autoSpaceDE w:val="0"/>
        <w:autoSpaceDN w:val="0"/>
        <w:adjustRightInd w:val="0"/>
        <w:spacing w:before="29" w:line="360" w:lineRule="auto"/>
        <w:ind w:firstLineChars="0"/>
        <w:rPr>
          <w:rFonts w:ascii="Times New Roman" w:hAnsi="Times New Roman" w:cs="Times New Roman"/>
          <w:b/>
          <w:bCs/>
          <w:color w:val="000000"/>
          <w:kern w:val="0"/>
        </w:rPr>
      </w:pPr>
      <w:r>
        <w:rPr>
          <w:rFonts w:ascii="Times New Roman" w:hAnsi="Times New Roman" w:cs="Times New Roman"/>
          <w:b/>
          <w:bCs/>
          <w:color w:val="000000"/>
          <w:kern w:val="0"/>
        </w:rPr>
        <w:t xml:space="preserve"> </w:t>
      </w:r>
      <w:r>
        <w:rPr>
          <w:rFonts w:ascii="Times New Roman" w:hAnsi="Times New Roman" w:hint="eastAsia"/>
          <w:b/>
          <w:bCs/>
          <w:color w:val="000000"/>
          <w:kern w:val="0"/>
        </w:rPr>
        <w:t>基金份额净值公告的披露安排</w:t>
      </w:r>
    </w:p>
    <w:p w:rsidR="005E0B0F" w:rsidRDefault="00600BDB">
      <w:pPr>
        <w:pStyle w:val="11"/>
        <w:autoSpaceDE w:val="0"/>
        <w:autoSpaceDN w:val="0"/>
        <w:adjustRightInd w:val="0"/>
        <w:spacing w:line="360" w:lineRule="auto"/>
        <w:ind w:firstLineChars="0" w:firstLine="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）《基金合同》生效后的封闭期期间，基金管理人应当至少每周在指定网站披露一次基金份额净值和基金份额累计净值。</w:t>
      </w:r>
    </w:p>
    <w:p w:rsidR="005E0B0F" w:rsidRDefault="00600BDB">
      <w:pPr>
        <w:pStyle w:val="11"/>
        <w:autoSpaceDE w:val="0"/>
        <w:autoSpaceDN w:val="0"/>
        <w:adjustRightInd w:val="0"/>
        <w:spacing w:line="360" w:lineRule="auto"/>
        <w:ind w:firstLineChars="0" w:firstLine="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）在开放期，基金管理人应当在不晚于每个开放日的次日，通过指定网站、基金销售机构网站或者营业网点披露开放日的基金份额净值和基金份额累计净值。</w:t>
      </w:r>
    </w:p>
    <w:p w:rsidR="005E0B0F" w:rsidRDefault="00600BDB">
      <w:pPr>
        <w:pStyle w:val="11"/>
        <w:autoSpaceDE w:val="0"/>
        <w:autoSpaceDN w:val="0"/>
        <w:adjustRightInd w:val="0"/>
        <w:spacing w:line="360" w:lineRule="auto"/>
        <w:ind w:firstLineChars="0" w:firstLine="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）基金管理人应当在不晚于半年度和年度最后一日的次日，在指定网站披露半年度和年度最后一日的基金份额净值和基金份额累计净值。</w:t>
      </w:r>
      <w:r>
        <w:rPr>
          <w:rFonts w:ascii="Arial" w:hAnsi="宋体" w:cs="Arial"/>
        </w:rPr>
        <w:cr/>
      </w:r>
    </w:p>
    <w:p w:rsidR="005E0B0F" w:rsidRDefault="00600BDB">
      <w:pPr>
        <w:pStyle w:val="ad"/>
        <w:numPr>
          <w:ilvl w:val="0"/>
          <w:numId w:val="2"/>
        </w:numPr>
        <w:autoSpaceDE w:val="0"/>
        <w:autoSpaceDN w:val="0"/>
        <w:adjustRightInd w:val="0"/>
        <w:spacing w:line="360" w:lineRule="auto"/>
        <w:ind w:firstLineChars="0"/>
        <w:rPr>
          <w:rFonts w:ascii="Arial" w:hAnsi="宋体" w:cs="Arial"/>
        </w:rPr>
      </w:pPr>
      <w:r>
        <w:rPr>
          <w:rFonts w:ascii="Times New Roman" w:hAnsi="Times New Roman" w:hint="eastAsia"/>
          <w:b/>
          <w:bCs/>
          <w:color w:val="000000"/>
          <w:kern w:val="0"/>
        </w:rPr>
        <w:t>其他需要提示的事项</w:t>
      </w:r>
    </w:p>
    <w:p w:rsidR="005E0B0F" w:rsidRDefault="00600BDB">
      <w:pPr>
        <w:pStyle w:val="11"/>
        <w:autoSpaceDE w:val="0"/>
        <w:autoSpaceDN w:val="0"/>
        <w:adjustRightInd w:val="0"/>
        <w:spacing w:line="360" w:lineRule="auto"/>
        <w:ind w:firstLineChars="0" w:firstLine="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）上述代销机构和直销机构均受理投资者的申购和赎回等业务。本基金若增加、调整直销机构或场外非直销机构，本公司将在官网上公示，敬请投资者留意。</w:t>
      </w:r>
    </w:p>
    <w:p w:rsidR="005E0B0F" w:rsidRDefault="00600BDB">
      <w:pPr>
        <w:pStyle w:val="11"/>
        <w:autoSpaceDE w:val="0"/>
        <w:autoSpaceDN w:val="0"/>
        <w:adjustRightInd w:val="0"/>
        <w:spacing w:line="360" w:lineRule="auto"/>
        <w:ind w:firstLineChars="0" w:firstLine="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）基金管理人可在法律法规允许的情况下，调整上述规定申购金额、赎回份额和最低基金份额保留余额等数量限制。基金管理人必须在调整实施前依照《信息披露办法》的有关规定在指定媒介上公告。</w:t>
      </w:r>
    </w:p>
    <w:p w:rsidR="005E0B0F" w:rsidRDefault="00600BDB">
      <w:pPr>
        <w:pStyle w:val="11"/>
        <w:autoSpaceDE w:val="0"/>
        <w:autoSpaceDN w:val="0"/>
        <w:adjustRightInd w:val="0"/>
        <w:spacing w:line="360" w:lineRule="auto"/>
        <w:ind w:firstLineChars="0" w:firstLine="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基金管理人可以在不违背法律法规规定及基金合同约定的情况下根据市场情况制定基金促销计划，定期和不定期地开展基金促销活动。在基金促销活动期间，基金管理人可以按中国证监会要求履行必要手续后，对投资人适当调低基金申购费率、赎回费率。</w:t>
      </w:r>
    </w:p>
    <w:p w:rsidR="005E0B0F" w:rsidRDefault="00600BDB">
      <w:pPr>
        <w:pStyle w:val="11"/>
        <w:autoSpaceDE w:val="0"/>
        <w:autoSpaceDN w:val="0"/>
        <w:adjustRightInd w:val="0"/>
        <w:spacing w:line="360" w:lineRule="auto"/>
        <w:ind w:firstLineChars="0" w:firstLine="0"/>
        <w:rPr>
          <w:rFonts w:ascii="Times New Roman" w:hAnsi="Times New Roman"/>
          <w:color w:val="000000"/>
          <w:kern w:val="0"/>
        </w:rPr>
      </w:pPr>
      <w:r>
        <w:rPr>
          <w:rFonts w:ascii="Times New Roman" w:hAnsi="Times New Roman" w:hint="eastAsia"/>
          <w:color w:val="000000"/>
          <w:kern w:val="0"/>
        </w:rPr>
        <w:t>（</w:t>
      </w:r>
      <w:r>
        <w:rPr>
          <w:rFonts w:ascii="Times New Roman" w:hAnsi="Times New Roman" w:hint="eastAsia"/>
          <w:color w:val="000000"/>
          <w:kern w:val="0"/>
        </w:rPr>
        <w:t>4</w:t>
      </w:r>
      <w:r>
        <w:rPr>
          <w:rFonts w:ascii="Times New Roman" w:hAnsi="Times New Roman" w:hint="eastAsia"/>
          <w:color w:val="000000"/>
          <w:kern w:val="0"/>
        </w:rPr>
        <w:t>）有关本基金开放申购、赎回的具体规定若有变化，本公司将另行公告。</w:t>
      </w:r>
    </w:p>
    <w:p w:rsidR="005E0B0F" w:rsidRDefault="00600BDB">
      <w:pPr>
        <w:pStyle w:val="11"/>
        <w:autoSpaceDE w:val="0"/>
        <w:autoSpaceDN w:val="0"/>
        <w:adjustRightInd w:val="0"/>
        <w:spacing w:line="360" w:lineRule="auto"/>
        <w:ind w:firstLineChars="0" w:firstLine="0"/>
        <w:rPr>
          <w:rFonts w:ascii="Arial" w:hAnsi="Arial" w:cs="Arial"/>
        </w:rPr>
      </w:pPr>
      <w:r>
        <w:rPr>
          <w:rFonts w:ascii="Arial" w:hAnsi="Arial" w:cs="Arial" w:hint="eastAsia"/>
        </w:rPr>
        <w:t>（</w:t>
      </w:r>
      <w:r>
        <w:rPr>
          <w:rFonts w:ascii="Arial" w:hAnsi="Arial" w:cs="Arial" w:hint="eastAsia"/>
        </w:rPr>
        <w:t>5</w:t>
      </w:r>
      <w:r>
        <w:rPr>
          <w:rFonts w:ascii="Arial" w:hAnsi="Arial" w:cs="Arial" w:hint="eastAsia"/>
        </w:rPr>
        <w:t>）投资者应及时通过本基金销售网点或致电本基金管理人客服热线</w:t>
      </w:r>
      <w:r>
        <w:rPr>
          <w:rFonts w:ascii="Arial" w:hAnsi="Arial" w:cs="Arial" w:hint="eastAsia"/>
        </w:rPr>
        <w:t>400-116-7888</w:t>
      </w:r>
      <w:r>
        <w:rPr>
          <w:rFonts w:ascii="Arial" w:hAnsi="Arial" w:cs="Arial" w:hint="eastAsia"/>
        </w:rPr>
        <w:t>（免长途话费）或登录本公司网站</w:t>
      </w:r>
      <w:r>
        <w:rPr>
          <w:rFonts w:ascii="Arial" w:hAnsi="Arial" w:cs="Arial"/>
        </w:rPr>
        <w:t>www.ctzg.com</w:t>
      </w:r>
      <w:r>
        <w:rPr>
          <w:rFonts w:ascii="Arial" w:hAnsi="Arial" w:cs="Arial" w:hint="eastAsia"/>
        </w:rPr>
        <w:t>查询其申购、赎回申请的确认情况。</w:t>
      </w:r>
    </w:p>
    <w:p w:rsidR="005E0B0F" w:rsidRDefault="00600BDB">
      <w:pPr>
        <w:pStyle w:val="11"/>
        <w:autoSpaceDE w:val="0"/>
        <w:autoSpaceDN w:val="0"/>
        <w:adjustRightInd w:val="0"/>
        <w:spacing w:line="360" w:lineRule="auto"/>
        <w:ind w:firstLineChars="0" w:firstLine="0"/>
        <w:rPr>
          <w:rFonts w:ascii="Times New Roman" w:hAnsi="Times New Roman"/>
          <w:color w:val="000000"/>
          <w:kern w:val="0"/>
        </w:rPr>
      </w:pPr>
      <w:r>
        <w:rPr>
          <w:rFonts w:ascii="Times New Roman" w:hAnsi="Times New Roman" w:hint="eastAsia"/>
          <w:color w:val="000000"/>
          <w:kern w:val="0"/>
        </w:rPr>
        <w:t>（</w:t>
      </w:r>
      <w:r>
        <w:rPr>
          <w:rFonts w:ascii="Times New Roman" w:hAnsi="Times New Roman" w:hint="eastAsia"/>
          <w:color w:val="000000"/>
          <w:kern w:val="0"/>
        </w:rPr>
        <w:t>6</w:t>
      </w:r>
      <w:r>
        <w:rPr>
          <w:rFonts w:ascii="Times New Roman" w:hAnsi="Times New Roman" w:hint="eastAsia"/>
          <w:color w:val="000000"/>
          <w:kern w:val="0"/>
        </w:rPr>
        <w:t>）投资者欲了解本基金的详细情况，请详细阅读《财通资管鑫盛</w:t>
      </w:r>
      <w:r>
        <w:rPr>
          <w:rFonts w:ascii="Times New Roman" w:hAnsi="Times New Roman" w:hint="eastAsia"/>
          <w:color w:val="000000"/>
          <w:kern w:val="0"/>
        </w:rPr>
        <w:t>6</w:t>
      </w:r>
      <w:r>
        <w:rPr>
          <w:rFonts w:ascii="Times New Roman" w:hAnsi="Times New Roman" w:hint="eastAsia"/>
          <w:color w:val="000000"/>
          <w:kern w:val="0"/>
        </w:rPr>
        <w:t>个月定期开放混合型证券投资基金基金合同》、《财通资管鑫盛</w:t>
      </w:r>
      <w:r>
        <w:rPr>
          <w:rFonts w:ascii="Times New Roman" w:hAnsi="Times New Roman" w:hint="eastAsia"/>
          <w:color w:val="000000"/>
          <w:kern w:val="0"/>
        </w:rPr>
        <w:t>6</w:t>
      </w:r>
      <w:r>
        <w:rPr>
          <w:rFonts w:ascii="Times New Roman" w:hAnsi="Times New Roman" w:hint="eastAsia"/>
          <w:color w:val="000000"/>
          <w:kern w:val="0"/>
        </w:rPr>
        <w:t>个月定期开放混合型证券投资基金招募说明书》等法律文件。</w:t>
      </w:r>
    </w:p>
    <w:p w:rsidR="005E0B0F" w:rsidRDefault="00600BDB">
      <w:pPr>
        <w:pStyle w:val="11"/>
        <w:autoSpaceDE w:val="0"/>
        <w:autoSpaceDN w:val="0"/>
        <w:adjustRightInd w:val="0"/>
        <w:spacing w:line="360" w:lineRule="auto"/>
        <w:ind w:firstLineChars="0" w:firstLine="0"/>
        <w:rPr>
          <w:rFonts w:ascii="Times New Roman" w:hAnsi="Times New Roman" w:cs="Times New Roman"/>
          <w:color w:val="000000"/>
          <w:kern w:val="0"/>
        </w:rPr>
      </w:pPr>
      <w:r>
        <w:rPr>
          <w:rFonts w:ascii="Times New Roman" w:hAnsi="Times New Roman" w:cs="Times New Roman" w:hint="eastAsia"/>
          <w:color w:val="000000"/>
          <w:kern w:val="0"/>
        </w:rPr>
        <w:t>（</w:t>
      </w:r>
      <w:r>
        <w:rPr>
          <w:rFonts w:ascii="Times New Roman" w:hAnsi="Times New Roman" w:cs="Times New Roman" w:hint="eastAsia"/>
          <w:color w:val="000000"/>
          <w:kern w:val="0"/>
        </w:rPr>
        <w:t>7</w:t>
      </w:r>
      <w:r>
        <w:rPr>
          <w:rFonts w:ascii="Times New Roman" w:hAnsi="Times New Roman" w:cs="Times New Roman" w:hint="eastAsia"/>
          <w:color w:val="000000"/>
          <w:kern w:val="0"/>
        </w:rPr>
        <w:t>）风险提示：基金管理人承诺以诚实信用、勤勉尽责的原则管理和运用基金资产，但不保证基金一定盈利，也不保证最低收益。投资者投资于本基金前应认真阅读本基金的合同、招募说明书等法律文件。本基金以定期开放方式进行运作，在非开放期间投资者不能进行申购、赎回。投资者投资基金前应仔细阅读基金合同、最新的招募说明书等法律文件，了解拟投资基金的风险投资特征，并根据自身投资目的、投资期限、投资经验、资产状况等判断基金是否和投资者的风险承受能力相匹配。</w:t>
      </w:r>
    </w:p>
    <w:p w:rsidR="005E0B0F" w:rsidRDefault="005E0B0F">
      <w:pPr>
        <w:autoSpaceDE w:val="0"/>
        <w:autoSpaceDN w:val="0"/>
        <w:adjustRightInd w:val="0"/>
        <w:spacing w:line="360" w:lineRule="auto"/>
        <w:ind w:firstLine="435"/>
        <w:rPr>
          <w:rFonts w:ascii="Times New Roman" w:hAnsi="Times New Roman" w:cs="Times New Roman"/>
          <w:color w:val="000000"/>
          <w:kern w:val="0"/>
        </w:rPr>
      </w:pPr>
    </w:p>
    <w:p w:rsidR="005E0B0F" w:rsidRDefault="00600BDB">
      <w:pPr>
        <w:autoSpaceDE w:val="0"/>
        <w:autoSpaceDN w:val="0"/>
        <w:adjustRightInd w:val="0"/>
        <w:spacing w:line="360" w:lineRule="auto"/>
        <w:ind w:firstLine="435"/>
        <w:rPr>
          <w:rFonts w:ascii="Times New Roman" w:hAnsi="Times New Roman"/>
          <w:color w:val="000000"/>
          <w:kern w:val="0"/>
        </w:rPr>
      </w:pPr>
      <w:r>
        <w:rPr>
          <w:rFonts w:ascii="Times New Roman" w:hAnsi="Times New Roman" w:hint="eastAsia"/>
          <w:color w:val="000000"/>
          <w:kern w:val="0"/>
        </w:rPr>
        <w:t>特此公告。</w:t>
      </w:r>
    </w:p>
    <w:p w:rsidR="005E0B0F" w:rsidRDefault="005E0B0F">
      <w:pPr>
        <w:autoSpaceDE w:val="0"/>
        <w:autoSpaceDN w:val="0"/>
        <w:adjustRightInd w:val="0"/>
        <w:spacing w:line="360" w:lineRule="auto"/>
        <w:ind w:firstLine="435"/>
        <w:rPr>
          <w:rFonts w:ascii="Times New Roman" w:hAnsi="Times New Roman"/>
          <w:color w:val="000000"/>
          <w:kern w:val="0"/>
        </w:rPr>
      </w:pPr>
    </w:p>
    <w:p w:rsidR="005E0B0F" w:rsidRDefault="00600BDB">
      <w:pPr>
        <w:autoSpaceDE w:val="0"/>
        <w:autoSpaceDN w:val="0"/>
        <w:adjustRightInd w:val="0"/>
        <w:spacing w:line="360" w:lineRule="auto"/>
        <w:ind w:firstLine="435"/>
        <w:jc w:val="right"/>
        <w:rPr>
          <w:rFonts w:ascii="Times New Roman" w:hAnsi="Times New Roman"/>
          <w:color w:val="000000"/>
          <w:kern w:val="0"/>
        </w:rPr>
      </w:pPr>
      <w:r>
        <w:rPr>
          <w:rFonts w:ascii="Times New Roman" w:hAnsi="Times New Roman" w:hint="eastAsia"/>
          <w:color w:val="000000"/>
          <w:kern w:val="0"/>
        </w:rPr>
        <w:t>财通证券资产管理有限公司</w:t>
      </w:r>
    </w:p>
    <w:p w:rsidR="005E0B0F" w:rsidRDefault="00600BDB">
      <w:pPr>
        <w:autoSpaceDE w:val="0"/>
        <w:autoSpaceDN w:val="0"/>
        <w:adjustRightInd w:val="0"/>
        <w:spacing w:line="360" w:lineRule="auto"/>
        <w:ind w:firstLine="435"/>
        <w:jc w:val="right"/>
        <w:rPr>
          <w:rFonts w:ascii="Times New Roman" w:hAnsi="Times New Roman" w:cs="Times New Roman"/>
          <w:color w:val="000000"/>
          <w:kern w:val="0"/>
        </w:rPr>
      </w:pPr>
      <w:r>
        <w:rPr>
          <w:rFonts w:ascii="Times New Roman" w:hAnsi="Times New Roman" w:cs="Times New Roman"/>
          <w:color w:val="000000"/>
          <w:kern w:val="0"/>
        </w:rPr>
        <w:t>20</w:t>
      </w:r>
      <w:r>
        <w:rPr>
          <w:rFonts w:ascii="Times New Roman" w:hAnsi="Times New Roman" w:cs="Times New Roman" w:hint="eastAsia"/>
          <w:color w:val="000000"/>
          <w:kern w:val="0"/>
        </w:rPr>
        <w:t>2</w:t>
      </w:r>
      <w:r>
        <w:rPr>
          <w:rFonts w:ascii="Times New Roman" w:hAnsi="Times New Roman" w:cs="Times New Roman"/>
          <w:color w:val="000000"/>
          <w:kern w:val="0"/>
        </w:rPr>
        <w:t>3</w:t>
      </w:r>
      <w:r>
        <w:rPr>
          <w:rFonts w:ascii="Times New Roman" w:hAnsi="Times New Roman" w:cs="Times New Roman" w:hint="eastAsia"/>
          <w:color w:val="000000"/>
          <w:kern w:val="0"/>
        </w:rPr>
        <w:t>年</w:t>
      </w:r>
      <w:r>
        <w:rPr>
          <w:rFonts w:ascii="Times New Roman" w:hAnsi="Times New Roman" w:cs="Times New Roman" w:hint="eastAsia"/>
          <w:color w:val="000000"/>
          <w:kern w:val="0"/>
        </w:rPr>
        <w:t>1</w:t>
      </w:r>
      <w:r>
        <w:rPr>
          <w:rFonts w:ascii="Times New Roman" w:hAnsi="Times New Roman" w:cs="Times New Roman"/>
          <w:color w:val="000000"/>
          <w:kern w:val="0"/>
        </w:rPr>
        <w:t>0</w:t>
      </w:r>
      <w:r>
        <w:rPr>
          <w:rFonts w:ascii="Times New Roman" w:hAnsi="Times New Roman" w:cs="Times New Roman" w:hint="eastAsia"/>
          <w:color w:val="000000"/>
          <w:kern w:val="0"/>
        </w:rPr>
        <w:t>月</w:t>
      </w:r>
      <w:r w:rsidR="00D0271C">
        <w:rPr>
          <w:rFonts w:ascii="Times New Roman" w:hAnsi="Times New Roman" w:cs="Times New Roman"/>
          <w:color w:val="000000"/>
          <w:kern w:val="0"/>
        </w:rPr>
        <w:t>25</w:t>
      </w:r>
      <w:r>
        <w:rPr>
          <w:rFonts w:ascii="Times New Roman" w:hAnsi="Times New Roman" w:cs="Times New Roman" w:hint="eastAsia"/>
          <w:color w:val="000000"/>
          <w:kern w:val="0"/>
        </w:rPr>
        <w:t>日</w:t>
      </w:r>
    </w:p>
    <w:sectPr w:rsidR="005E0B0F" w:rsidSect="00C71CEA">
      <w:headerReference w:type="default" r:id="rId8"/>
      <w:footerReference w:type="default" r:id="rId9"/>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D9D" w:rsidRDefault="00C53D9D">
      <w:r>
        <w:separator/>
      </w:r>
    </w:p>
  </w:endnote>
  <w:endnote w:type="continuationSeparator" w:id="0">
    <w:p w:rsidR="00C53D9D" w:rsidRDefault="00C53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0F" w:rsidRDefault="005E0B0F">
    <w:pPr>
      <w:autoSpaceDE w:val="0"/>
      <w:autoSpaceDN w:val="0"/>
      <w:adjustRightInd w:val="0"/>
      <w:jc w:val="left"/>
      <w:rPr>
        <w:rFonts w:asci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D9D" w:rsidRDefault="00C53D9D">
      <w:r>
        <w:separator/>
      </w:r>
    </w:p>
  </w:footnote>
  <w:footnote w:type="continuationSeparator" w:id="0">
    <w:p w:rsidR="00C53D9D" w:rsidRDefault="00C53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0F" w:rsidRDefault="00600BDB">
    <w:pPr>
      <w:autoSpaceDE w:val="0"/>
      <w:autoSpaceDN w:val="0"/>
      <w:adjustRightInd w:val="0"/>
      <w:jc w:val="left"/>
      <w:rPr>
        <w:rFonts w:ascii="Arial" w:cs="Arial"/>
        <w:kern w:val="0"/>
        <w:sz w:val="24"/>
        <w:szCs w:val="24"/>
      </w:rPr>
    </w:pPr>
    <w:r>
      <w:rPr>
        <w:rFonts w:ascii="宋体" w:hAnsi="宋体"/>
        <w:noProof/>
      </w:rPr>
      <w:drawing>
        <wp:inline distT="0" distB="0" distL="0" distR="0">
          <wp:extent cx="2066925" cy="35242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073022" cy="353402"/>
                  </a:xfrm>
                  <a:prstGeom prst="rect">
                    <a:avLst/>
                  </a:prstGeom>
                  <a:noFill/>
                  <a:ln>
                    <a:noFill/>
                  </a:ln>
                </pic:spPr>
              </pic:pic>
            </a:graphicData>
          </a:graphic>
        </wp:inline>
      </w:drawing>
    </w:r>
  </w:p>
  <w:tbl>
    <w:tblPr>
      <w:tblW w:w="9030" w:type="dxa"/>
      <w:tblInd w:w="108" w:type="dxa"/>
      <w:tblLayout w:type="fixed"/>
      <w:tblLook w:val="04A0"/>
    </w:tblPr>
    <w:tblGrid>
      <w:gridCol w:w="9030"/>
    </w:tblGrid>
    <w:tr w:rsidR="005E0B0F">
      <w:tc>
        <w:tcPr>
          <w:tcW w:w="9030" w:type="dxa"/>
          <w:tcBorders>
            <w:top w:val="single" w:sz="8" w:space="0" w:color="000000"/>
            <w:left w:val="nil"/>
            <w:bottom w:val="nil"/>
            <w:right w:val="nil"/>
          </w:tcBorders>
        </w:tcPr>
        <w:p w:rsidR="005E0B0F" w:rsidRDefault="005E0B0F">
          <w:pPr>
            <w:autoSpaceDE w:val="0"/>
            <w:autoSpaceDN w:val="0"/>
            <w:adjustRightInd w:val="0"/>
            <w:jc w:val="left"/>
            <w:rPr>
              <w:rFonts w:ascii="Arial" w:cs="Arial"/>
              <w:color w:val="000000"/>
              <w:kern w:val="0"/>
              <w:sz w:val="24"/>
              <w:szCs w:val="24"/>
            </w:rPr>
          </w:pPr>
        </w:p>
      </w:tc>
    </w:tr>
  </w:tbl>
  <w:p w:rsidR="005E0B0F" w:rsidRDefault="005E0B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0A699AA"/>
    <w:lvl w:ilvl="0">
      <w:start w:val="1"/>
      <w:numFmt w:val="decimal"/>
      <w:lvlText w:val="%1."/>
      <w:lvlJc w:val="left"/>
      <w:pPr>
        <w:tabs>
          <w:tab w:val="num" w:pos="360"/>
        </w:tabs>
        <w:ind w:left="360" w:hangingChars="200" w:hanging="360"/>
      </w:pPr>
    </w:lvl>
  </w:abstractNum>
  <w:abstractNum w:abstractNumId="1">
    <w:nsid w:val="1B8576F3"/>
    <w:multiLevelType w:val="multilevel"/>
    <w:tmpl w:val="1B8576F3"/>
    <w:lvl w:ilvl="0">
      <w:start w:val="7"/>
      <w:numFmt w:val="decimal"/>
      <w:lvlText w:val="%1"/>
      <w:lvlJc w:val="left"/>
      <w:pPr>
        <w:ind w:left="360" w:hanging="360"/>
      </w:pPr>
      <w:rPr>
        <w:rFonts w:ascii="Times New Roman" w:hAnsi="Times New Roman" w:cs="Times New Roman" w:hint="default"/>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B972F1E"/>
    <w:multiLevelType w:val="multilevel"/>
    <w:tmpl w:val="4B972F1E"/>
    <w:lvl w:ilvl="0">
      <w:start w:val="6"/>
      <w:numFmt w:val="decimal"/>
      <w:lvlText w:val="%1"/>
      <w:lvlJc w:val="left"/>
      <w:pPr>
        <w:ind w:left="375" w:hanging="360"/>
      </w:pPr>
      <w:rPr>
        <w:rFonts w:hint="default"/>
      </w:rPr>
    </w:lvl>
    <w:lvl w:ilvl="1">
      <w:start w:val="1"/>
      <w:numFmt w:val="lowerLetter"/>
      <w:lvlText w:val="%2)"/>
      <w:lvlJc w:val="left"/>
      <w:pPr>
        <w:ind w:left="855" w:hanging="420"/>
      </w:pPr>
    </w:lvl>
    <w:lvl w:ilvl="2">
      <w:start w:val="1"/>
      <w:numFmt w:val="lowerRoman"/>
      <w:lvlText w:val="%3."/>
      <w:lvlJc w:val="right"/>
      <w:pPr>
        <w:ind w:left="1275" w:hanging="420"/>
      </w:pPr>
    </w:lvl>
    <w:lvl w:ilvl="3">
      <w:start w:val="1"/>
      <w:numFmt w:val="decimal"/>
      <w:lvlText w:val="%4."/>
      <w:lvlJc w:val="left"/>
      <w:pPr>
        <w:ind w:left="1695" w:hanging="420"/>
      </w:pPr>
    </w:lvl>
    <w:lvl w:ilvl="4">
      <w:start w:val="1"/>
      <w:numFmt w:val="lowerLetter"/>
      <w:lvlText w:val="%5)"/>
      <w:lvlJc w:val="left"/>
      <w:pPr>
        <w:ind w:left="2115" w:hanging="420"/>
      </w:pPr>
    </w:lvl>
    <w:lvl w:ilvl="5">
      <w:start w:val="1"/>
      <w:numFmt w:val="lowerRoman"/>
      <w:lvlText w:val="%6."/>
      <w:lvlJc w:val="right"/>
      <w:pPr>
        <w:ind w:left="2535" w:hanging="420"/>
      </w:pPr>
    </w:lvl>
    <w:lvl w:ilvl="6">
      <w:start w:val="1"/>
      <w:numFmt w:val="decimal"/>
      <w:lvlText w:val="%7."/>
      <w:lvlJc w:val="left"/>
      <w:pPr>
        <w:ind w:left="2955" w:hanging="420"/>
      </w:pPr>
    </w:lvl>
    <w:lvl w:ilvl="7">
      <w:start w:val="1"/>
      <w:numFmt w:val="lowerLetter"/>
      <w:lvlText w:val="%8)"/>
      <w:lvlJc w:val="left"/>
      <w:pPr>
        <w:ind w:left="3375" w:hanging="420"/>
      </w:pPr>
    </w:lvl>
    <w:lvl w:ilvl="8">
      <w:start w:val="1"/>
      <w:numFmt w:val="lowerRoman"/>
      <w:lvlText w:val="%9."/>
      <w:lvlJc w:val="right"/>
      <w:pPr>
        <w:ind w:left="379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noLineBreaksAfter w:lang="zh-CN" w:val="([{·‘“〈《「『【〔〖（．［｛￡￥"/>
  <w:noLineBreaksBefore w:lang="zh-CN" w:val="!),.:;?]}¨·ˇˉ―‖’”…∶、。〃々〉》」』】〕〗！＂＇），．：；？］｀｜｝～￠"/>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4930BC"/>
    <w:rsid w:val="000069BE"/>
    <w:rsid w:val="00020DD2"/>
    <w:rsid w:val="00023460"/>
    <w:rsid w:val="000309E3"/>
    <w:rsid w:val="000479CF"/>
    <w:rsid w:val="000659E9"/>
    <w:rsid w:val="0007254E"/>
    <w:rsid w:val="0007572F"/>
    <w:rsid w:val="000868B9"/>
    <w:rsid w:val="00094535"/>
    <w:rsid w:val="000A78B8"/>
    <w:rsid w:val="000B5A1F"/>
    <w:rsid w:val="000C7B0A"/>
    <w:rsid w:val="000C7BED"/>
    <w:rsid w:val="000C7F46"/>
    <w:rsid w:val="000D0B01"/>
    <w:rsid w:val="000D3A19"/>
    <w:rsid w:val="001016FC"/>
    <w:rsid w:val="00101DCF"/>
    <w:rsid w:val="00144DA3"/>
    <w:rsid w:val="00172215"/>
    <w:rsid w:val="00172481"/>
    <w:rsid w:val="00174472"/>
    <w:rsid w:val="00181DE1"/>
    <w:rsid w:val="00187336"/>
    <w:rsid w:val="001C67B8"/>
    <w:rsid w:val="001E6327"/>
    <w:rsid w:val="00214104"/>
    <w:rsid w:val="00220D32"/>
    <w:rsid w:val="0023710D"/>
    <w:rsid w:val="00242642"/>
    <w:rsid w:val="00251789"/>
    <w:rsid w:val="00275399"/>
    <w:rsid w:val="002A13AF"/>
    <w:rsid w:val="002C455D"/>
    <w:rsid w:val="002C6D27"/>
    <w:rsid w:val="002D71E0"/>
    <w:rsid w:val="002E255D"/>
    <w:rsid w:val="002E4960"/>
    <w:rsid w:val="002F0FBD"/>
    <w:rsid w:val="002F6731"/>
    <w:rsid w:val="00311C6D"/>
    <w:rsid w:val="00313184"/>
    <w:rsid w:val="00317E3A"/>
    <w:rsid w:val="00327355"/>
    <w:rsid w:val="00333B9E"/>
    <w:rsid w:val="0033479F"/>
    <w:rsid w:val="00334F19"/>
    <w:rsid w:val="003421F5"/>
    <w:rsid w:val="0034550A"/>
    <w:rsid w:val="00367BD1"/>
    <w:rsid w:val="00372403"/>
    <w:rsid w:val="003806E6"/>
    <w:rsid w:val="00381477"/>
    <w:rsid w:val="00391077"/>
    <w:rsid w:val="003A032A"/>
    <w:rsid w:val="003B54D9"/>
    <w:rsid w:val="003E3428"/>
    <w:rsid w:val="003F6719"/>
    <w:rsid w:val="003F729E"/>
    <w:rsid w:val="003F74AA"/>
    <w:rsid w:val="004127E8"/>
    <w:rsid w:val="004345E6"/>
    <w:rsid w:val="0044037C"/>
    <w:rsid w:val="00453AD0"/>
    <w:rsid w:val="00455FD9"/>
    <w:rsid w:val="00461B59"/>
    <w:rsid w:val="00477385"/>
    <w:rsid w:val="004907F0"/>
    <w:rsid w:val="004930BC"/>
    <w:rsid w:val="00496795"/>
    <w:rsid w:val="004A0EEC"/>
    <w:rsid w:val="004A7CD6"/>
    <w:rsid w:val="004B383C"/>
    <w:rsid w:val="004B5D5A"/>
    <w:rsid w:val="004B7682"/>
    <w:rsid w:val="004C6BA4"/>
    <w:rsid w:val="004D6E45"/>
    <w:rsid w:val="004E4191"/>
    <w:rsid w:val="005178D5"/>
    <w:rsid w:val="00525B88"/>
    <w:rsid w:val="00550886"/>
    <w:rsid w:val="005509DC"/>
    <w:rsid w:val="00563042"/>
    <w:rsid w:val="00563899"/>
    <w:rsid w:val="00570127"/>
    <w:rsid w:val="00586238"/>
    <w:rsid w:val="005930E4"/>
    <w:rsid w:val="005A1E2F"/>
    <w:rsid w:val="005A6E03"/>
    <w:rsid w:val="005B5DBC"/>
    <w:rsid w:val="005D7DA8"/>
    <w:rsid w:val="005E0B0F"/>
    <w:rsid w:val="005E23E2"/>
    <w:rsid w:val="005E33EA"/>
    <w:rsid w:val="005E479C"/>
    <w:rsid w:val="005F0EA0"/>
    <w:rsid w:val="005F25C5"/>
    <w:rsid w:val="005F2D22"/>
    <w:rsid w:val="005F3123"/>
    <w:rsid w:val="00600BDB"/>
    <w:rsid w:val="006050EE"/>
    <w:rsid w:val="006117D0"/>
    <w:rsid w:val="006154E9"/>
    <w:rsid w:val="006261BB"/>
    <w:rsid w:val="0063649C"/>
    <w:rsid w:val="00654EB9"/>
    <w:rsid w:val="00661BF5"/>
    <w:rsid w:val="00663546"/>
    <w:rsid w:val="006651ED"/>
    <w:rsid w:val="0067025C"/>
    <w:rsid w:val="0067130C"/>
    <w:rsid w:val="0067289C"/>
    <w:rsid w:val="00680C9A"/>
    <w:rsid w:val="006943E5"/>
    <w:rsid w:val="006B5F28"/>
    <w:rsid w:val="006F502D"/>
    <w:rsid w:val="00722011"/>
    <w:rsid w:val="007264E1"/>
    <w:rsid w:val="00730588"/>
    <w:rsid w:val="00736A00"/>
    <w:rsid w:val="007523A8"/>
    <w:rsid w:val="007670CB"/>
    <w:rsid w:val="00785534"/>
    <w:rsid w:val="007A10D9"/>
    <w:rsid w:val="007A4C22"/>
    <w:rsid w:val="007E3F14"/>
    <w:rsid w:val="007F6D57"/>
    <w:rsid w:val="00813DF7"/>
    <w:rsid w:val="00817119"/>
    <w:rsid w:val="00847F9C"/>
    <w:rsid w:val="008556CF"/>
    <w:rsid w:val="008659F0"/>
    <w:rsid w:val="008679D1"/>
    <w:rsid w:val="00880520"/>
    <w:rsid w:val="00886085"/>
    <w:rsid w:val="00893E94"/>
    <w:rsid w:val="00895BC5"/>
    <w:rsid w:val="008B0A4D"/>
    <w:rsid w:val="008B580D"/>
    <w:rsid w:val="008C5514"/>
    <w:rsid w:val="008D327A"/>
    <w:rsid w:val="008F47CF"/>
    <w:rsid w:val="009006F3"/>
    <w:rsid w:val="00907428"/>
    <w:rsid w:val="00924BA7"/>
    <w:rsid w:val="00934E15"/>
    <w:rsid w:val="00962D3D"/>
    <w:rsid w:val="009679CB"/>
    <w:rsid w:val="009771ED"/>
    <w:rsid w:val="00985E0F"/>
    <w:rsid w:val="009972CF"/>
    <w:rsid w:val="009A2A4A"/>
    <w:rsid w:val="009C2C3F"/>
    <w:rsid w:val="009D24FC"/>
    <w:rsid w:val="009E1125"/>
    <w:rsid w:val="009E1C95"/>
    <w:rsid w:val="009E1E10"/>
    <w:rsid w:val="00A026D9"/>
    <w:rsid w:val="00A14DFC"/>
    <w:rsid w:val="00A236C7"/>
    <w:rsid w:val="00A31074"/>
    <w:rsid w:val="00A37FB7"/>
    <w:rsid w:val="00A577B8"/>
    <w:rsid w:val="00A609E4"/>
    <w:rsid w:val="00A61373"/>
    <w:rsid w:val="00A71DAE"/>
    <w:rsid w:val="00A77DC6"/>
    <w:rsid w:val="00A942D2"/>
    <w:rsid w:val="00AA1497"/>
    <w:rsid w:val="00AA52F4"/>
    <w:rsid w:val="00AC0596"/>
    <w:rsid w:val="00AC090C"/>
    <w:rsid w:val="00AC0972"/>
    <w:rsid w:val="00AC3C72"/>
    <w:rsid w:val="00AD03A3"/>
    <w:rsid w:val="00AF4807"/>
    <w:rsid w:val="00B12B5D"/>
    <w:rsid w:val="00B16142"/>
    <w:rsid w:val="00B259D4"/>
    <w:rsid w:val="00B50019"/>
    <w:rsid w:val="00B56B10"/>
    <w:rsid w:val="00B62603"/>
    <w:rsid w:val="00B65426"/>
    <w:rsid w:val="00B65A82"/>
    <w:rsid w:val="00B72F52"/>
    <w:rsid w:val="00B758BE"/>
    <w:rsid w:val="00B85DED"/>
    <w:rsid w:val="00B939A8"/>
    <w:rsid w:val="00B94813"/>
    <w:rsid w:val="00BA220B"/>
    <w:rsid w:val="00BD5AD9"/>
    <w:rsid w:val="00BF2B0C"/>
    <w:rsid w:val="00C03C4F"/>
    <w:rsid w:val="00C15D4E"/>
    <w:rsid w:val="00C467AC"/>
    <w:rsid w:val="00C52B09"/>
    <w:rsid w:val="00C5391B"/>
    <w:rsid w:val="00C53D9D"/>
    <w:rsid w:val="00C545EA"/>
    <w:rsid w:val="00C71CEA"/>
    <w:rsid w:val="00C90BEC"/>
    <w:rsid w:val="00C945E6"/>
    <w:rsid w:val="00CE1015"/>
    <w:rsid w:val="00CE43E7"/>
    <w:rsid w:val="00CF5A28"/>
    <w:rsid w:val="00D0271C"/>
    <w:rsid w:val="00D04371"/>
    <w:rsid w:val="00D130C8"/>
    <w:rsid w:val="00D209C6"/>
    <w:rsid w:val="00D268D4"/>
    <w:rsid w:val="00D3288A"/>
    <w:rsid w:val="00D445AF"/>
    <w:rsid w:val="00D606CA"/>
    <w:rsid w:val="00D65B54"/>
    <w:rsid w:val="00D71FA9"/>
    <w:rsid w:val="00DC6FE7"/>
    <w:rsid w:val="00DD6B2D"/>
    <w:rsid w:val="00DD7A18"/>
    <w:rsid w:val="00DF0B2C"/>
    <w:rsid w:val="00DF177E"/>
    <w:rsid w:val="00DF4C8B"/>
    <w:rsid w:val="00DF5039"/>
    <w:rsid w:val="00E00F87"/>
    <w:rsid w:val="00E02907"/>
    <w:rsid w:val="00E06327"/>
    <w:rsid w:val="00E0796B"/>
    <w:rsid w:val="00E133BD"/>
    <w:rsid w:val="00E20257"/>
    <w:rsid w:val="00E30521"/>
    <w:rsid w:val="00E620D9"/>
    <w:rsid w:val="00E7165C"/>
    <w:rsid w:val="00E73FA1"/>
    <w:rsid w:val="00E80C98"/>
    <w:rsid w:val="00E81C27"/>
    <w:rsid w:val="00E95DBE"/>
    <w:rsid w:val="00EA1AD6"/>
    <w:rsid w:val="00ED5896"/>
    <w:rsid w:val="00F07700"/>
    <w:rsid w:val="00F11142"/>
    <w:rsid w:val="00F2098B"/>
    <w:rsid w:val="00F20C88"/>
    <w:rsid w:val="00F35E9A"/>
    <w:rsid w:val="00F60833"/>
    <w:rsid w:val="00F627F3"/>
    <w:rsid w:val="00F96FAF"/>
    <w:rsid w:val="00FB19B3"/>
    <w:rsid w:val="00FB2B1D"/>
    <w:rsid w:val="00FB62AA"/>
    <w:rsid w:val="00FC1C79"/>
    <w:rsid w:val="00FC343B"/>
    <w:rsid w:val="00FE74D9"/>
    <w:rsid w:val="00FF3A6E"/>
    <w:rsid w:val="011C6D0E"/>
    <w:rsid w:val="0561307C"/>
    <w:rsid w:val="061165F0"/>
    <w:rsid w:val="06526822"/>
    <w:rsid w:val="076F15B7"/>
    <w:rsid w:val="08E30D64"/>
    <w:rsid w:val="0CFE1C1C"/>
    <w:rsid w:val="120C6B5D"/>
    <w:rsid w:val="14E16FC4"/>
    <w:rsid w:val="170D4192"/>
    <w:rsid w:val="1C1C76D8"/>
    <w:rsid w:val="2042195B"/>
    <w:rsid w:val="21D32D9C"/>
    <w:rsid w:val="22313F2C"/>
    <w:rsid w:val="22E82E33"/>
    <w:rsid w:val="23B049FE"/>
    <w:rsid w:val="2444296D"/>
    <w:rsid w:val="25125311"/>
    <w:rsid w:val="27E15BF3"/>
    <w:rsid w:val="28101377"/>
    <w:rsid w:val="291A711F"/>
    <w:rsid w:val="2A6E53A8"/>
    <w:rsid w:val="2B605322"/>
    <w:rsid w:val="2D823E72"/>
    <w:rsid w:val="2DAB21B9"/>
    <w:rsid w:val="2F543F14"/>
    <w:rsid w:val="2FEC7E92"/>
    <w:rsid w:val="3136160D"/>
    <w:rsid w:val="327A1A2A"/>
    <w:rsid w:val="349C381C"/>
    <w:rsid w:val="38894BCD"/>
    <w:rsid w:val="3E8D1E95"/>
    <w:rsid w:val="3ED11286"/>
    <w:rsid w:val="3FA516C0"/>
    <w:rsid w:val="406A3BCC"/>
    <w:rsid w:val="46281130"/>
    <w:rsid w:val="491B5ED3"/>
    <w:rsid w:val="4F3E7137"/>
    <w:rsid w:val="54571166"/>
    <w:rsid w:val="545E68EB"/>
    <w:rsid w:val="550A22BB"/>
    <w:rsid w:val="56B65B12"/>
    <w:rsid w:val="583F7862"/>
    <w:rsid w:val="5AD826BB"/>
    <w:rsid w:val="5B6C6913"/>
    <w:rsid w:val="5F464C32"/>
    <w:rsid w:val="5FAC0FC5"/>
    <w:rsid w:val="627D09D0"/>
    <w:rsid w:val="68D221B5"/>
    <w:rsid w:val="6A5323D4"/>
    <w:rsid w:val="6B837A9C"/>
    <w:rsid w:val="6D8D3903"/>
    <w:rsid w:val="6E764851"/>
    <w:rsid w:val="6EB053B9"/>
    <w:rsid w:val="77E72419"/>
    <w:rsid w:val="7A220243"/>
    <w:rsid w:val="7E1B7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lsdException w:name="annotation reference" w:semiHidden="0" w:unhideWhenUsed="0"/>
    <w:lsdException w:name="toa heading" w:semiHidden="0" w:unhideWhenUsed="0"/>
    <w:lsdException w:name="List Number" w:semiHidden="0" w:unhideWhenUsed="0"/>
    <w:lsdException w:name="List 2" w:semiHidden="0" w:unhideWhenUsed="0"/>
    <w:lsdException w:name="Title" w:semiHidden="0" w:uiPriority="1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0"/>
    <w:lsdException w:name="Strong" w:semiHidden="0" w:uiPriority="22" w:unhideWhenUsed="0"/>
    <w:lsdException w:name="Emphasis" w:semiHidden="0" w:uiPriority="20" w:unhideWhenUsed="0"/>
    <w:lsdException w:name="HTML Top of Form" w:qFormat="0"/>
    <w:lsdException w:name="HTML Bottom of Form" w:qFormat="0"/>
    <w:lsdException w:name="Normal Table" w:qFormat="0"/>
    <w:lsdException w:name="annotation subject" w:semiHidden="0" w:unhideWhenUsed="0"/>
    <w:lsdException w:name="No List" w:qFormat="0"/>
    <w:lsdException w:name="Outline List 1" w:qFormat="0"/>
    <w:lsdException w:name="Outline List 2" w:qFormat="0"/>
    <w:lsdException w:name="Outline List 3" w:qFormat="0"/>
    <w:lsdException w:name="Balloon Text" w:semiHidden="0" w:unhideWhenUsed="0"/>
    <w:lsdException w:name="Table Grid" w:semiHidden="0" w:uiPriority="59" w:unhideWhenUsed="0"/>
    <w:lsdException w:name="Placeholder Text" w:unhideWhenUsed="0" w:qFormat="0"/>
    <w:lsdException w:name="No Spacing" w:semiHidden="0" w:unhideWhenUsed="0"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nhideWhenUsed="0" w:qFormat="0"/>
    <w:lsdException w:name="List Paragraph" w:semiHidden="0" w:unhideWhenUsed="0"/>
    <w:lsdException w:name="Quote" w:semiHidden="0" w:unhideWhenUsed="0" w:qFormat="0"/>
    <w:lsdException w:name="Intense Quote" w:semiHidden="0" w:unhideWhenUsed="0"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C71CEA"/>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71CEA"/>
    <w:pPr>
      <w:jc w:val="left"/>
    </w:pPr>
  </w:style>
  <w:style w:type="paragraph" w:styleId="a4">
    <w:name w:val="Balloon Text"/>
    <w:basedOn w:val="a"/>
    <w:link w:val="Char0"/>
    <w:uiPriority w:val="99"/>
    <w:qFormat/>
    <w:rsid w:val="00C71CEA"/>
    <w:rPr>
      <w:sz w:val="18"/>
      <w:szCs w:val="18"/>
    </w:rPr>
  </w:style>
  <w:style w:type="paragraph" w:styleId="a5">
    <w:name w:val="footer"/>
    <w:basedOn w:val="a"/>
    <w:link w:val="Char5"/>
    <w:uiPriority w:val="99"/>
    <w:unhideWhenUsed/>
    <w:qFormat/>
    <w:rsid w:val="00C71CEA"/>
    <w:pPr>
      <w:tabs>
        <w:tab w:val="center" w:pos="4153"/>
        <w:tab w:val="right" w:pos="8306"/>
      </w:tabs>
      <w:snapToGrid w:val="0"/>
      <w:jc w:val="left"/>
    </w:pPr>
    <w:rPr>
      <w:sz w:val="18"/>
      <w:szCs w:val="18"/>
    </w:rPr>
  </w:style>
  <w:style w:type="paragraph" w:styleId="a6">
    <w:name w:val="header"/>
    <w:basedOn w:val="a"/>
    <w:link w:val="Char50"/>
    <w:uiPriority w:val="99"/>
    <w:unhideWhenUsed/>
    <w:qFormat/>
    <w:rsid w:val="00C71CE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uiPriority w:val="99"/>
    <w:qFormat/>
    <w:rsid w:val="00C71CEA"/>
    <w:rPr>
      <w:b/>
      <w:bCs/>
    </w:rPr>
  </w:style>
  <w:style w:type="character" w:styleId="a8">
    <w:name w:val="Emphasis"/>
    <w:basedOn w:val="a0"/>
    <w:uiPriority w:val="20"/>
    <w:qFormat/>
    <w:rsid w:val="00C71CEA"/>
    <w:rPr>
      <w:i/>
      <w:iCs/>
    </w:rPr>
  </w:style>
  <w:style w:type="character" w:styleId="a9">
    <w:name w:val="Hyperlink"/>
    <w:basedOn w:val="a0"/>
    <w:uiPriority w:val="99"/>
    <w:semiHidden/>
    <w:unhideWhenUsed/>
    <w:rsid w:val="00C71CEA"/>
    <w:rPr>
      <w:color w:val="0000FF"/>
      <w:u w:val="single"/>
    </w:rPr>
  </w:style>
  <w:style w:type="character" w:styleId="aa">
    <w:name w:val="annotation reference"/>
    <w:basedOn w:val="a0"/>
    <w:uiPriority w:val="99"/>
    <w:qFormat/>
    <w:rsid w:val="00C71CEA"/>
    <w:rPr>
      <w:rFonts w:cs="Times New Roman"/>
      <w:sz w:val="21"/>
      <w:szCs w:val="21"/>
    </w:rPr>
  </w:style>
  <w:style w:type="character" w:customStyle="1" w:styleId="Char50">
    <w:name w:val="页眉 Char5"/>
    <w:basedOn w:val="a0"/>
    <w:link w:val="a6"/>
    <w:uiPriority w:val="99"/>
    <w:unhideWhenUsed/>
    <w:qFormat/>
    <w:locked/>
    <w:rsid w:val="00C71CEA"/>
    <w:rPr>
      <w:rFonts w:cs="Times New Roman"/>
      <w:sz w:val="18"/>
      <w:szCs w:val="18"/>
    </w:rPr>
  </w:style>
  <w:style w:type="character" w:customStyle="1" w:styleId="Char5">
    <w:name w:val="页脚 Char5"/>
    <w:basedOn w:val="a0"/>
    <w:link w:val="a5"/>
    <w:uiPriority w:val="99"/>
    <w:unhideWhenUsed/>
    <w:qFormat/>
    <w:locked/>
    <w:rsid w:val="00C71CEA"/>
    <w:rPr>
      <w:rFonts w:cs="Times New Roman"/>
      <w:sz w:val="18"/>
      <w:szCs w:val="18"/>
    </w:rPr>
  </w:style>
  <w:style w:type="character" w:customStyle="1" w:styleId="Char2">
    <w:name w:val="页脚 Char"/>
    <w:basedOn w:val="a0"/>
    <w:uiPriority w:val="99"/>
    <w:semiHidden/>
    <w:qFormat/>
    <w:rsid w:val="00C71CEA"/>
    <w:rPr>
      <w:rFonts w:ascii="Calibri" w:hAnsi="Calibri" w:cs="宋体"/>
      <w:sz w:val="18"/>
      <w:szCs w:val="18"/>
    </w:rPr>
  </w:style>
  <w:style w:type="character" w:customStyle="1" w:styleId="ab">
    <w:name w:val="页脚 字符"/>
    <w:basedOn w:val="a0"/>
    <w:uiPriority w:val="99"/>
    <w:semiHidden/>
    <w:qFormat/>
    <w:rsid w:val="00C71CEA"/>
    <w:rPr>
      <w:rFonts w:ascii="Calibri" w:hAnsi="Calibri" w:cs="宋体"/>
      <w:sz w:val="18"/>
      <w:szCs w:val="18"/>
    </w:rPr>
  </w:style>
  <w:style w:type="character" w:customStyle="1" w:styleId="Char20">
    <w:name w:val="页脚 Char2"/>
    <w:basedOn w:val="a0"/>
    <w:uiPriority w:val="99"/>
    <w:semiHidden/>
    <w:qFormat/>
    <w:rsid w:val="00C71CEA"/>
    <w:rPr>
      <w:rFonts w:ascii="Calibri" w:hAnsi="Calibri" w:cs="宋体"/>
      <w:sz w:val="18"/>
      <w:szCs w:val="18"/>
    </w:rPr>
  </w:style>
  <w:style w:type="character" w:customStyle="1" w:styleId="Char4">
    <w:name w:val="页脚 Char4"/>
    <w:basedOn w:val="a0"/>
    <w:uiPriority w:val="99"/>
    <w:semiHidden/>
    <w:qFormat/>
    <w:rsid w:val="00C71CEA"/>
    <w:rPr>
      <w:rFonts w:ascii="Calibri" w:hAnsi="Calibri" w:cs="宋体"/>
      <w:sz w:val="18"/>
      <w:szCs w:val="18"/>
    </w:rPr>
  </w:style>
  <w:style w:type="character" w:customStyle="1" w:styleId="Char3">
    <w:name w:val="页脚 Char3"/>
    <w:basedOn w:val="a0"/>
    <w:uiPriority w:val="99"/>
    <w:semiHidden/>
    <w:qFormat/>
    <w:rsid w:val="00C71CEA"/>
    <w:rPr>
      <w:rFonts w:ascii="Calibri" w:hAnsi="Calibri" w:cs="宋体"/>
      <w:sz w:val="18"/>
      <w:szCs w:val="18"/>
    </w:rPr>
  </w:style>
  <w:style w:type="character" w:customStyle="1" w:styleId="1">
    <w:name w:val="页脚 字符1"/>
    <w:basedOn w:val="a0"/>
    <w:uiPriority w:val="99"/>
    <w:semiHidden/>
    <w:qFormat/>
    <w:rsid w:val="00C71CEA"/>
    <w:rPr>
      <w:rFonts w:ascii="Calibri" w:hAnsi="Calibri" w:cs="宋体"/>
      <w:sz w:val="18"/>
      <w:szCs w:val="18"/>
    </w:rPr>
  </w:style>
  <w:style w:type="character" w:customStyle="1" w:styleId="Char10">
    <w:name w:val="页脚 Char1"/>
    <w:basedOn w:val="a0"/>
    <w:uiPriority w:val="99"/>
    <w:semiHidden/>
    <w:qFormat/>
    <w:rsid w:val="00C71CEA"/>
    <w:rPr>
      <w:rFonts w:ascii="Calibri" w:hAnsi="Calibri" w:cs="宋体"/>
      <w:sz w:val="18"/>
      <w:szCs w:val="18"/>
    </w:rPr>
  </w:style>
  <w:style w:type="character" w:customStyle="1" w:styleId="Char11">
    <w:name w:val="页脚 Char11"/>
    <w:basedOn w:val="a0"/>
    <w:uiPriority w:val="99"/>
    <w:semiHidden/>
    <w:qFormat/>
    <w:rsid w:val="00C71CEA"/>
    <w:rPr>
      <w:rFonts w:ascii="Calibri" w:hAnsi="Calibri" w:cs="宋体"/>
      <w:sz w:val="18"/>
      <w:szCs w:val="18"/>
    </w:rPr>
  </w:style>
  <w:style w:type="character" w:customStyle="1" w:styleId="Char6">
    <w:name w:val="页眉 Char"/>
    <w:basedOn w:val="a0"/>
    <w:uiPriority w:val="99"/>
    <w:semiHidden/>
    <w:qFormat/>
    <w:rsid w:val="00C71CEA"/>
    <w:rPr>
      <w:rFonts w:ascii="Calibri" w:hAnsi="Calibri" w:cs="宋体"/>
      <w:sz w:val="18"/>
      <w:szCs w:val="18"/>
    </w:rPr>
  </w:style>
  <w:style w:type="character" w:customStyle="1" w:styleId="ac">
    <w:name w:val="页眉 字符"/>
    <w:basedOn w:val="a0"/>
    <w:uiPriority w:val="99"/>
    <w:semiHidden/>
    <w:qFormat/>
    <w:rsid w:val="00C71CEA"/>
    <w:rPr>
      <w:rFonts w:ascii="Calibri" w:hAnsi="Calibri" w:cs="宋体"/>
      <w:sz w:val="18"/>
      <w:szCs w:val="18"/>
    </w:rPr>
  </w:style>
  <w:style w:type="character" w:customStyle="1" w:styleId="Char21">
    <w:name w:val="页眉 Char2"/>
    <w:basedOn w:val="a0"/>
    <w:uiPriority w:val="99"/>
    <w:semiHidden/>
    <w:qFormat/>
    <w:rsid w:val="00C71CEA"/>
    <w:rPr>
      <w:rFonts w:ascii="Calibri" w:hAnsi="Calibri" w:cs="宋体"/>
      <w:sz w:val="18"/>
      <w:szCs w:val="18"/>
    </w:rPr>
  </w:style>
  <w:style w:type="character" w:customStyle="1" w:styleId="Char40">
    <w:name w:val="页眉 Char4"/>
    <w:basedOn w:val="a0"/>
    <w:uiPriority w:val="99"/>
    <w:semiHidden/>
    <w:qFormat/>
    <w:rsid w:val="00C71CEA"/>
    <w:rPr>
      <w:rFonts w:ascii="Calibri" w:hAnsi="Calibri" w:cs="宋体"/>
      <w:sz w:val="18"/>
      <w:szCs w:val="18"/>
    </w:rPr>
  </w:style>
  <w:style w:type="character" w:customStyle="1" w:styleId="Char30">
    <w:name w:val="页眉 Char3"/>
    <w:basedOn w:val="a0"/>
    <w:uiPriority w:val="99"/>
    <w:semiHidden/>
    <w:qFormat/>
    <w:rsid w:val="00C71CEA"/>
    <w:rPr>
      <w:rFonts w:ascii="Calibri" w:hAnsi="Calibri" w:cs="宋体"/>
      <w:sz w:val="18"/>
      <w:szCs w:val="18"/>
    </w:rPr>
  </w:style>
  <w:style w:type="character" w:customStyle="1" w:styleId="10">
    <w:name w:val="页眉 字符1"/>
    <w:basedOn w:val="a0"/>
    <w:uiPriority w:val="99"/>
    <w:semiHidden/>
    <w:qFormat/>
    <w:rsid w:val="00C71CEA"/>
    <w:rPr>
      <w:rFonts w:ascii="Calibri" w:hAnsi="Calibri" w:cs="宋体"/>
      <w:sz w:val="18"/>
      <w:szCs w:val="18"/>
    </w:rPr>
  </w:style>
  <w:style w:type="character" w:customStyle="1" w:styleId="Char12">
    <w:name w:val="页眉 Char1"/>
    <w:basedOn w:val="a0"/>
    <w:uiPriority w:val="99"/>
    <w:semiHidden/>
    <w:qFormat/>
    <w:rsid w:val="00C71CEA"/>
    <w:rPr>
      <w:rFonts w:ascii="Calibri" w:hAnsi="Calibri" w:cs="宋体"/>
      <w:sz w:val="18"/>
      <w:szCs w:val="18"/>
    </w:rPr>
  </w:style>
  <w:style w:type="character" w:customStyle="1" w:styleId="Char110">
    <w:name w:val="页眉 Char11"/>
    <w:basedOn w:val="a0"/>
    <w:uiPriority w:val="99"/>
    <w:semiHidden/>
    <w:qFormat/>
    <w:rsid w:val="00C71CEA"/>
    <w:rPr>
      <w:rFonts w:ascii="Calibri" w:hAnsi="Calibri" w:cs="宋体"/>
      <w:sz w:val="18"/>
      <w:szCs w:val="18"/>
    </w:rPr>
  </w:style>
  <w:style w:type="character" w:customStyle="1" w:styleId="Char1">
    <w:name w:val="批注主题 Char"/>
    <w:basedOn w:val="Char"/>
    <w:link w:val="a7"/>
    <w:uiPriority w:val="99"/>
    <w:qFormat/>
    <w:locked/>
    <w:rsid w:val="00C71CEA"/>
    <w:rPr>
      <w:rFonts w:ascii="Calibri" w:hAnsi="Calibri" w:cs="宋体"/>
      <w:b/>
      <w:bCs/>
      <w:sz w:val="21"/>
      <w:szCs w:val="21"/>
    </w:rPr>
  </w:style>
  <w:style w:type="character" w:customStyle="1" w:styleId="Char">
    <w:name w:val="批注文字 Char"/>
    <w:basedOn w:val="a0"/>
    <w:link w:val="a3"/>
    <w:uiPriority w:val="99"/>
    <w:qFormat/>
    <w:locked/>
    <w:rsid w:val="00C71CEA"/>
    <w:rPr>
      <w:rFonts w:ascii="Calibri" w:hAnsi="Calibri" w:cs="宋体"/>
      <w:sz w:val="21"/>
      <w:szCs w:val="21"/>
    </w:rPr>
  </w:style>
  <w:style w:type="character" w:customStyle="1" w:styleId="Char0">
    <w:name w:val="批注框文本 Char"/>
    <w:basedOn w:val="a0"/>
    <w:link w:val="a4"/>
    <w:uiPriority w:val="99"/>
    <w:qFormat/>
    <w:locked/>
    <w:rsid w:val="00C71CEA"/>
    <w:rPr>
      <w:rFonts w:ascii="Calibri" w:hAnsi="Calibri" w:cs="宋体"/>
      <w:sz w:val="18"/>
      <w:szCs w:val="18"/>
    </w:rPr>
  </w:style>
  <w:style w:type="paragraph" w:customStyle="1" w:styleId="11">
    <w:name w:val="列出段落1"/>
    <w:basedOn w:val="a"/>
    <w:uiPriority w:val="99"/>
    <w:qFormat/>
    <w:rsid w:val="00C71CEA"/>
    <w:pPr>
      <w:ind w:firstLineChars="200" w:firstLine="420"/>
    </w:pPr>
  </w:style>
  <w:style w:type="paragraph" w:styleId="ad">
    <w:name w:val="List Paragraph"/>
    <w:basedOn w:val="a"/>
    <w:uiPriority w:val="99"/>
    <w:qFormat/>
    <w:rsid w:val="00C71CEA"/>
    <w:pPr>
      <w:ind w:firstLineChars="200" w:firstLine="420"/>
    </w:pPr>
  </w:style>
  <w:style w:type="paragraph" w:customStyle="1" w:styleId="12">
    <w:name w:val="修订1"/>
    <w:hidden/>
    <w:uiPriority w:val="99"/>
    <w:semiHidden/>
    <w:qFormat/>
    <w:rsid w:val="00C71CEA"/>
    <w:rPr>
      <w:rFonts w:ascii="Calibri" w:hAnsi="Calibri" w:cs="宋体"/>
      <w:kern w:val="2"/>
      <w:sz w:val="21"/>
      <w:szCs w:val="21"/>
    </w:rPr>
  </w:style>
  <w:style w:type="paragraph" w:customStyle="1" w:styleId="2">
    <w:name w:val="修订2"/>
    <w:hidden/>
    <w:uiPriority w:val="99"/>
    <w:semiHidden/>
    <w:qFormat/>
    <w:rsid w:val="00C71CEA"/>
    <w:rPr>
      <w:rFonts w:ascii="Calibri" w:hAnsi="Calibri"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6866-306B-48B9-9F8F-855B6727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4172</Characters>
  <Application>Microsoft Office Word</Application>
  <DocSecurity>4</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2016-10-25T12:31:00Z</cp:lastPrinted>
  <dcterms:created xsi:type="dcterms:W3CDTF">2023-10-24T16:02:00Z</dcterms:created>
  <dcterms:modified xsi:type="dcterms:W3CDTF">2023-10-24T16:02:00Z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1BD6C526E25F4AC78DE2125446D5E856</vt:lpwstr>
  </property>
</Properties>
</file>