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21" w:rsidRDefault="00316E25">
      <w:pPr>
        <w:jc w:val="center"/>
        <w:rPr>
          <w:rFonts w:ascii="宋体" w:eastAsia="宋体" w:hAnsi="宋体" w:cs="Times New Roman"/>
          <w:b/>
          <w:sz w:val="32"/>
          <w:szCs w:val="48"/>
        </w:rPr>
      </w:pPr>
      <w:r>
        <w:rPr>
          <w:rFonts w:ascii="宋体" w:eastAsia="宋体" w:hAnsi="宋体" w:cs="Times New Roman"/>
          <w:b/>
          <w:sz w:val="32"/>
          <w:szCs w:val="48"/>
        </w:rPr>
        <w:t>上海东方证券资产管理有限公司</w:t>
      </w:r>
    </w:p>
    <w:p w:rsidR="00B73621" w:rsidRDefault="00316E25">
      <w:pPr>
        <w:jc w:val="center"/>
        <w:rPr>
          <w:rFonts w:ascii="宋体" w:eastAsia="宋体" w:hAnsi="宋体" w:cs="Times New Roman"/>
          <w:b/>
          <w:sz w:val="32"/>
          <w:szCs w:val="48"/>
        </w:rPr>
      </w:pPr>
      <w:r>
        <w:rPr>
          <w:rFonts w:ascii="宋体" w:eastAsia="宋体" w:hAnsi="宋体" w:cs="Times New Roman"/>
          <w:b/>
          <w:sz w:val="32"/>
          <w:szCs w:val="48"/>
        </w:rPr>
        <w:t>关于旗下部分基金非港股通交易日安排的公告</w:t>
      </w:r>
    </w:p>
    <w:p w:rsidR="00B73621" w:rsidRDefault="00B73621">
      <w:pPr>
        <w:spacing w:line="360" w:lineRule="auto"/>
        <w:ind w:firstLineChars="200" w:firstLine="480"/>
        <w:rPr>
          <w:rFonts w:ascii="宋体" w:eastAsia="宋体" w:hAnsi="宋体" w:cs="Times New Roman"/>
          <w:sz w:val="24"/>
          <w:szCs w:val="24"/>
        </w:rPr>
      </w:pPr>
    </w:p>
    <w:p w:rsidR="00B73621" w:rsidRDefault="00316E25">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根据管理人于</w:t>
      </w:r>
      <w:r>
        <w:rPr>
          <w:rFonts w:ascii="宋体" w:eastAsia="宋体" w:hAnsi="宋体" w:cs="Times New Roman"/>
          <w:sz w:val="24"/>
          <w:szCs w:val="24"/>
        </w:rPr>
        <w:t>2023</w:t>
      </w:r>
      <w:r>
        <w:rPr>
          <w:rFonts w:ascii="宋体" w:eastAsia="宋体" w:hAnsi="宋体" w:cs="Times New Roman"/>
          <w:sz w:val="24"/>
          <w:szCs w:val="24"/>
        </w:rPr>
        <w:t>年</w:t>
      </w:r>
      <w:r>
        <w:rPr>
          <w:rFonts w:ascii="宋体" w:eastAsia="宋体" w:hAnsi="宋体" w:cs="Times New Roman"/>
          <w:sz w:val="24"/>
          <w:szCs w:val="24"/>
        </w:rPr>
        <w:t>4</w:t>
      </w:r>
      <w:r>
        <w:rPr>
          <w:rFonts w:ascii="宋体" w:eastAsia="宋体" w:hAnsi="宋体" w:cs="Times New Roman"/>
          <w:sz w:val="24"/>
          <w:szCs w:val="24"/>
        </w:rPr>
        <w:t>月</w:t>
      </w:r>
      <w:r>
        <w:rPr>
          <w:rFonts w:ascii="宋体" w:eastAsia="宋体" w:hAnsi="宋体" w:cs="Times New Roman"/>
          <w:sz w:val="24"/>
          <w:szCs w:val="24"/>
        </w:rPr>
        <w:t>4</w:t>
      </w:r>
      <w:r>
        <w:rPr>
          <w:rFonts w:ascii="宋体" w:eastAsia="宋体" w:hAnsi="宋体" w:cs="Times New Roman"/>
          <w:sz w:val="24"/>
          <w:szCs w:val="24"/>
        </w:rPr>
        <w:t>日</w:t>
      </w:r>
      <w:r>
        <w:rPr>
          <w:rFonts w:ascii="宋体" w:eastAsia="宋体" w:hAnsi="宋体" w:cs="Times New Roman" w:hint="eastAsia"/>
          <w:sz w:val="24"/>
          <w:szCs w:val="24"/>
        </w:rPr>
        <w:t>发布的《上海东方证券资产管理有限公司关于旗下部分基金新增</w:t>
      </w:r>
      <w:r>
        <w:rPr>
          <w:rFonts w:ascii="宋体" w:eastAsia="宋体" w:hAnsi="宋体" w:cs="Times New Roman"/>
          <w:sz w:val="24"/>
          <w:szCs w:val="24"/>
        </w:rPr>
        <w:t>2023</w:t>
      </w:r>
      <w:r>
        <w:rPr>
          <w:rFonts w:ascii="宋体" w:eastAsia="宋体" w:hAnsi="宋体" w:cs="Times New Roman"/>
          <w:sz w:val="24"/>
          <w:szCs w:val="24"/>
        </w:rPr>
        <w:t>年港股通交易日后调整申购、赎回等业务安排的公告》，</w:t>
      </w:r>
      <w:r>
        <w:rPr>
          <w:rFonts w:ascii="宋体" w:eastAsia="宋体" w:hAnsi="宋体" w:cs="Times New Roman" w:hint="eastAsia"/>
          <w:sz w:val="24"/>
          <w:szCs w:val="24"/>
        </w:rPr>
        <w:t>本公司有权对合同约定“管理人有权决定是否开放”的基金的开放安排进行相应调整并另行公告</w:t>
      </w:r>
      <w:r>
        <w:rPr>
          <w:rFonts w:ascii="宋体" w:eastAsia="宋体" w:hAnsi="宋体" w:cs="Times New Roman"/>
          <w:sz w:val="24"/>
          <w:szCs w:val="24"/>
        </w:rPr>
        <w:t>。</w:t>
      </w:r>
    </w:p>
    <w:p w:rsidR="00B73621" w:rsidRDefault="00316E25">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根据下列基金基金合同的约定，投资者可在开放日办理下列基金基金份额的申购和赎回，具体办理时间为上海证券交易所、深圳证券交易所的正常交易日的交易时间，若该工作日为非港股通交易日，则基金管理人有权决定该基金是否开放。</w:t>
      </w:r>
    </w:p>
    <w:p w:rsidR="00B73621" w:rsidRDefault="00316E25">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sz w:val="24"/>
          <w:szCs w:val="24"/>
        </w:rPr>
        <w:t>10</w:t>
      </w:r>
      <w:r>
        <w:rPr>
          <w:rFonts w:ascii="宋体" w:eastAsia="宋体" w:hAnsi="宋体" w:cs="Times New Roman" w:hint="eastAsia"/>
          <w:sz w:val="24"/>
          <w:szCs w:val="24"/>
        </w:rPr>
        <w:t>月</w:t>
      </w:r>
      <w:r>
        <w:rPr>
          <w:rFonts w:ascii="宋体" w:eastAsia="宋体" w:hAnsi="宋体" w:cs="Times New Roman"/>
          <w:sz w:val="24"/>
          <w:szCs w:val="24"/>
        </w:rPr>
        <w:t>23</w:t>
      </w:r>
      <w:r>
        <w:rPr>
          <w:rFonts w:ascii="宋体" w:eastAsia="宋体" w:hAnsi="宋体" w:cs="Times New Roman" w:hint="eastAsia"/>
          <w:sz w:val="24"/>
          <w:szCs w:val="24"/>
        </w:rPr>
        <w:t>日为非港股通交易日，经管理人决定，下列</w:t>
      </w:r>
      <w:r>
        <w:rPr>
          <w:rFonts w:ascii="宋体" w:eastAsia="宋体" w:hAnsi="宋体" w:cs="Times New Roman" w:hint="eastAsia"/>
          <w:sz w:val="24"/>
          <w:szCs w:val="24"/>
        </w:rPr>
        <w:t>基金相关份额此次非港股通交易日开放安排为：</w:t>
      </w:r>
    </w:p>
    <w:tbl>
      <w:tblPr>
        <w:tblStyle w:val="a8"/>
        <w:tblW w:w="8931" w:type="dxa"/>
        <w:tblLook w:val="04A0"/>
      </w:tblPr>
      <w:tblGrid>
        <w:gridCol w:w="3119"/>
        <w:gridCol w:w="2127"/>
        <w:gridCol w:w="3685"/>
      </w:tblGrid>
      <w:tr w:rsidR="00B73621">
        <w:tc>
          <w:tcPr>
            <w:tcW w:w="3119"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基金名称</w:t>
            </w:r>
          </w:p>
        </w:tc>
        <w:tc>
          <w:tcPr>
            <w:tcW w:w="2127"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基金代码</w:t>
            </w: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是否暂停办理申购、赎回等业务</w:t>
            </w:r>
          </w:p>
        </w:tc>
      </w:tr>
      <w:tr w:rsidR="00B73621">
        <w:tc>
          <w:tcPr>
            <w:tcW w:w="3119"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东方红颐和积极养老目标五年持有期混合型基金中基金（</w:t>
            </w:r>
            <w:r>
              <w:rPr>
                <w:rFonts w:ascii="宋体" w:eastAsia="宋体" w:hAnsi="宋体" w:cs="Times New Roman" w:hint="eastAsia"/>
                <w:sz w:val="24"/>
                <w:szCs w:val="24"/>
              </w:rPr>
              <w:t>FOF</w:t>
            </w:r>
            <w:r>
              <w:rPr>
                <w:rFonts w:ascii="宋体" w:eastAsia="宋体" w:hAnsi="宋体" w:cs="Times New Roman" w:hint="eastAsia"/>
                <w:sz w:val="24"/>
                <w:szCs w:val="24"/>
              </w:rPr>
              <w:t>）</w:t>
            </w: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类份额</w:t>
            </w:r>
            <w:r>
              <w:rPr>
                <w:rFonts w:ascii="宋体" w:eastAsia="宋体" w:hAnsi="宋体" w:cs="Times New Roman" w:hint="eastAsia"/>
                <w:sz w:val="24"/>
                <w:szCs w:val="24"/>
              </w:rPr>
              <w:t>009184</w:t>
            </w:r>
          </w:p>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Y</w:t>
            </w:r>
            <w:r>
              <w:rPr>
                <w:rFonts w:ascii="宋体" w:eastAsia="宋体" w:hAnsi="宋体" w:cs="Times New Roman" w:hint="eastAsia"/>
                <w:sz w:val="24"/>
                <w:szCs w:val="24"/>
              </w:rPr>
              <w:t>类份额</w:t>
            </w:r>
            <w:r>
              <w:rPr>
                <w:rFonts w:ascii="宋体" w:eastAsia="宋体" w:hAnsi="宋体" w:cs="Times New Roman"/>
                <w:sz w:val="24"/>
                <w:szCs w:val="24"/>
              </w:rPr>
              <w:t>017675</w:t>
            </w:r>
          </w:p>
          <w:p w:rsidR="00B73621" w:rsidRDefault="00B73621">
            <w:pPr>
              <w:spacing w:line="360" w:lineRule="auto"/>
              <w:jc w:val="left"/>
              <w:rPr>
                <w:rFonts w:ascii="宋体" w:eastAsia="宋体" w:hAnsi="宋体" w:cs="Times New Roman"/>
                <w:sz w:val="24"/>
                <w:szCs w:val="24"/>
              </w:rPr>
            </w:pP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w:t>
            </w:r>
            <w:r>
              <w:rPr>
                <w:rFonts w:ascii="宋体" w:eastAsia="宋体" w:hAnsi="宋体" w:cs="Times New Roman" w:hint="eastAsia"/>
                <w:sz w:val="24"/>
                <w:szCs w:val="24"/>
              </w:rPr>
              <w:t>业务暂未开通办理</w:t>
            </w:r>
          </w:p>
        </w:tc>
      </w:tr>
      <w:tr w:rsidR="00B73621">
        <w:tc>
          <w:tcPr>
            <w:tcW w:w="3119" w:type="dxa"/>
            <w:vMerge w:val="restart"/>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东方红颐和平衡养老目标三年持有期混合型基金中基金（</w:t>
            </w:r>
            <w:r>
              <w:rPr>
                <w:rFonts w:ascii="宋体" w:eastAsia="宋体" w:hAnsi="宋体" w:cs="Times New Roman" w:hint="eastAsia"/>
                <w:sz w:val="24"/>
                <w:szCs w:val="24"/>
              </w:rPr>
              <w:t>FOF</w:t>
            </w:r>
            <w:r>
              <w:rPr>
                <w:rFonts w:ascii="宋体" w:eastAsia="宋体" w:hAnsi="宋体" w:cs="Times New Roman" w:hint="eastAsia"/>
                <w:sz w:val="24"/>
                <w:szCs w:val="24"/>
              </w:rPr>
              <w:t>）</w:t>
            </w: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类份额</w:t>
            </w:r>
            <w:r>
              <w:rPr>
                <w:rFonts w:ascii="宋体" w:eastAsia="宋体" w:hAnsi="宋体" w:cs="Times New Roman" w:hint="eastAsia"/>
                <w:sz w:val="24"/>
                <w:szCs w:val="24"/>
              </w:rPr>
              <w:t>009183</w:t>
            </w:r>
          </w:p>
          <w:p w:rsidR="00B73621" w:rsidRDefault="00B73621">
            <w:pPr>
              <w:spacing w:line="360" w:lineRule="auto"/>
              <w:rPr>
                <w:rFonts w:ascii="宋体" w:eastAsia="宋体" w:hAnsi="宋体" w:cs="Times New Roman"/>
                <w:sz w:val="24"/>
                <w:szCs w:val="24"/>
              </w:rPr>
            </w:pP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开放办理申购（含定期定额投资）、赎回业务</w:t>
            </w:r>
          </w:p>
        </w:tc>
      </w:tr>
      <w:tr w:rsidR="00B73621">
        <w:tc>
          <w:tcPr>
            <w:tcW w:w="3119" w:type="dxa"/>
            <w:vMerge/>
          </w:tcPr>
          <w:p w:rsidR="00B73621" w:rsidRDefault="00B73621">
            <w:pPr>
              <w:spacing w:line="360" w:lineRule="auto"/>
              <w:jc w:val="left"/>
              <w:rPr>
                <w:rFonts w:ascii="宋体" w:eastAsia="宋体" w:hAnsi="宋体" w:cs="Times New Roman"/>
                <w:sz w:val="24"/>
                <w:szCs w:val="24"/>
              </w:rPr>
            </w:pP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Y</w:t>
            </w:r>
            <w:r>
              <w:rPr>
                <w:rFonts w:ascii="宋体" w:eastAsia="宋体" w:hAnsi="宋体" w:cs="Times New Roman" w:hint="eastAsia"/>
                <w:sz w:val="24"/>
                <w:szCs w:val="24"/>
              </w:rPr>
              <w:t>类份额</w:t>
            </w:r>
            <w:r>
              <w:rPr>
                <w:rFonts w:ascii="宋体" w:eastAsia="宋体" w:hAnsi="宋体" w:cs="Times New Roman"/>
                <w:sz w:val="24"/>
                <w:szCs w:val="24"/>
              </w:rPr>
              <w:t>017674</w:t>
            </w:r>
          </w:p>
          <w:p w:rsidR="00B73621" w:rsidRDefault="00B73621">
            <w:pPr>
              <w:spacing w:line="360" w:lineRule="auto"/>
              <w:rPr>
                <w:rFonts w:ascii="宋体" w:eastAsia="宋体" w:hAnsi="宋体" w:cs="Times New Roman"/>
                <w:sz w:val="24"/>
                <w:szCs w:val="24"/>
              </w:rPr>
            </w:pP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开放办理申购（含定期定额投资）业务；赎回业务暂未开通办理</w:t>
            </w:r>
          </w:p>
        </w:tc>
      </w:tr>
      <w:tr w:rsidR="00B73621">
        <w:tc>
          <w:tcPr>
            <w:tcW w:w="3119" w:type="dxa"/>
            <w:vMerge w:val="restart"/>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东方红颐和稳健养老目标两年持有期混合型基金中基金（</w:t>
            </w:r>
            <w:r>
              <w:rPr>
                <w:rFonts w:ascii="宋体" w:eastAsia="宋体" w:hAnsi="宋体" w:cs="Times New Roman" w:hint="eastAsia"/>
                <w:sz w:val="24"/>
                <w:szCs w:val="24"/>
              </w:rPr>
              <w:t>FOF</w:t>
            </w:r>
            <w:r>
              <w:rPr>
                <w:rFonts w:ascii="宋体" w:eastAsia="宋体" w:hAnsi="宋体" w:cs="Times New Roman" w:hint="eastAsia"/>
                <w:sz w:val="24"/>
                <w:szCs w:val="24"/>
              </w:rPr>
              <w:t>）</w:t>
            </w:r>
          </w:p>
          <w:p w:rsidR="00B73621" w:rsidRDefault="00B73621">
            <w:pPr>
              <w:spacing w:line="360" w:lineRule="auto"/>
              <w:jc w:val="left"/>
              <w:rPr>
                <w:rFonts w:ascii="宋体" w:eastAsia="宋体" w:hAnsi="宋体" w:cs="Times New Roman"/>
                <w:sz w:val="24"/>
                <w:szCs w:val="24"/>
              </w:rPr>
            </w:pP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类份额</w:t>
            </w:r>
            <w:r>
              <w:rPr>
                <w:rFonts w:ascii="宋体" w:eastAsia="宋体" w:hAnsi="宋体" w:cs="Times New Roman" w:hint="eastAsia"/>
                <w:sz w:val="24"/>
                <w:szCs w:val="24"/>
              </w:rPr>
              <w:t>009174</w:t>
            </w:r>
          </w:p>
          <w:p w:rsidR="00B73621" w:rsidRDefault="00B73621">
            <w:pPr>
              <w:spacing w:line="360" w:lineRule="auto"/>
              <w:jc w:val="left"/>
              <w:rPr>
                <w:rFonts w:ascii="宋体" w:eastAsia="宋体" w:hAnsi="宋体" w:cs="Times New Roman"/>
                <w:sz w:val="24"/>
                <w:szCs w:val="24"/>
              </w:rPr>
            </w:pP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开放办理申购（含定期定额投资）、赎回业务</w:t>
            </w:r>
          </w:p>
        </w:tc>
      </w:tr>
      <w:tr w:rsidR="00B73621">
        <w:tc>
          <w:tcPr>
            <w:tcW w:w="3119" w:type="dxa"/>
            <w:vMerge/>
          </w:tcPr>
          <w:p w:rsidR="00B73621" w:rsidRDefault="00B73621">
            <w:pPr>
              <w:spacing w:line="360" w:lineRule="auto"/>
              <w:jc w:val="left"/>
              <w:rPr>
                <w:rFonts w:ascii="宋体" w:eastAsia="宋体" w:hAnsi="宋体" w:cs="Times New Roman"/>
                <w:sz w:val="24"/>
                <w:szCs w:val="24"/>
              </w:rPr>
            </w:pP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Y</w:t>
            </w:r>
            <w:r>
              <w:rPr>
                <w:rFonts w:ascii="宋体" w:eastAsia="宋体" w:hAnsi="宋体" w:cs="Times New Roman" w:hint="eastAsia"/>
                <w:sz w:val="24"/>
                <w:szCs w:val="24"/>
              </w:rPr>
              <w:t>类份额</w:t>
            </w:r>
            <w:r>
              <w:rPr>
                <w:rFonts w:ascii="宋体" w:eastAsia="宋体" w:hAnsi="宋体" w:cs="Times New Roman"/>
                <w:sz w:val="24"/>
                <w:szCs w:val="24"/>
              </w:rPr>
              <w:t>017673</w:t>
            </w:r>
          </w:p>
          <w:p w:rsidR="00B73621" w:rsidRDefault="00B73621">
            <w:pPr>
              <w:spacing w:line="360" w:lineRule="auto"/>
              <w:jc w:val="left"/>
              <w:rPr>
                <w:rFonts w:ascii="宋体" w:eastAsia="宋体" w:hAnsi="宋体" w:cs="Times New Roman"/>
                <w:sz w:val="24"/>
                <w:szCs w:val="24"/>
              </w:rPr>
            </w:pP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开放办理申购（含定期定额投资）业务；赎回业务暂未开通办理</w:t>
            </w:r>
          </w:p>
        </w:tc>
      </w:tr>
      <w:tr w:rsidR="00B73621">
        <w:tc>
          <w:tcPr>
            <w:tcW w:w="3119"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东方红养老目标日期</w:t>
            </w:r>
            <w:r>
              <w:rPr>
                <w:rFonts w:ascii="宋体" w:eastAsia="宋体" w:hAnsi="宋体" w:cs="Times New Roman"/>
                <w:sz w:val="24"/>
                <w:szCs w:val="24"/>
              </w:rPr>
              <w:t>2045</w:t>
            </w:r>
            <w:r>
              <w:rPr>
                <w:rFonts w:ascii="宋体" w:eastAsia="宋体" w:hAnsi="宋体" w:cs="Times New Roman"/>
                <w:sz w:val="24"/>
                <w:szCs w:val="24"/>
              </w:rPr>
              <w:t>五年持有期混合型发起式基金中基金（</w:t>
            </w:r>
            <w:r>
              <w:rPr>
                <w:rFonts w:ascii="宋体" w:eastAsia="宋体" w:hAnsi="宋体" w:cs="Times New Roman"/>
                <w:sz w:val="24"/>
                <w:szCs w:val="24"/>
              </w:rPr>
              <w:t>FOF</w:t>
            </w:r>
            <w:r>
              <w:rPr>
                <w:rFonts w:ascii="宋体" w:eastAsia="宋体" w:hAnsi="宋体" w:cs="Times New Roman"/>
                <w:sz w:val="24"/>
                <w:szCs w:val="24"/>
              </w:rPr>
              <w:t>）</w:t>
            </w:r>
          </w:p>
        </w:tc>
        <w:tc>
          <w:tcPr>
            <w:tcW w:w="2127"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sz w:val="24"/>
                <w:szCs w:val="24"/>
              </w:rPr>
              <w:t>016242</w:t>
            </w: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开放办理申购（含定期定额投资）业务；赎回业务暂未开通办理</w:t>
            </w:r>
          </w:p>
        </w:tc>
      </w:tr>
      <w:tr w:rsidR="00B73621">
        <w:tc>
          <w:tcPr>
            <w:tcW w:w="3119"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lastRenderedPageBreak/>
              <w:t>东方红安盈甄选一年持有期混合型证券投资基金</w:t>
            </w: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类份额</w:t>
            </w:r>
            <w:r>
              <w:rPr>
                <w:rFonts w:ascii="宋体" w:eastAsia="宋体" w:hAnsi="宋体" w:cs="Times New Roman" w:hint="eastAsia"/>
                <w:sz w:val="24"/>
                <w:szCs w:val="24"/>
              </w:rPr>
              <w:t>012683</w:t>
            </w:r>
          </w:p>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类份额</w:t>
            </w:r>
            <w:r>
              <w:rPr>
                <w:rFonts w:ascii="宋体" w:eastAsia="宋体" w:hAnsi="宋体" w:cs="Times New Roman" w:hint="eastAsia"/>
                <w:sz w:val="24"/>
                <w:szCs w:val="24"/>
              </w:rPr>
              <w:t>0</w:t>
            </w:r>
            <w:r>
              <w:rPr>
                <w:rFonts w:ascii="宋体" w:eastAsia="宋体" w:hAnsi="宋体" w:cs="Times New Roman"/>
                <w:sz w:val="24"/>
                <w:szCs w:val="24"/>
              </w:rPr>
              <w:t>12684</w:t>
            </w:r>
          </w:p>
          <w:p w:rsidR="00B73621" w:rsidRDefault="00B73621">
            <w:pPr>
              <w:spacing w:line="360" w:lineRule="auto"/>
              <w:jc w:val="left"/>
              <w:rPr>
                <w:rFonts w:ascii="宋体" w:eastAsia="宋体" w:hAnsi="宋体" w:cs="Times New Roman"/>
                <w:sz w:val="24"/>
                <w:szCs w:val="24"/>
              </w:rPr>
            </w:pPr>
          </w:p>
        </w:tc>
        <w:tc>
          <w:tcPr>
            <w:tcW w:w="3685"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开放办理申购（含定期定额投资、转换转入）、赎回（含转换转出）业务</w:t>
            </w:r>
          </w:p>
        </w:tc>
      </w:tr>
      <w:tr w:rsidR="00B73621">
        <w:tc>
          <w:tcPr>
            <w:tcW w:w="3119" w:type="dxa"/>
          </w:tcPr>
          <w:p w:rsidR="00B73621" w:rsidRDefault="00316E25">
            <w:pPr>
              <w:spacing w:line="360" w:lineRule="auto"/>
              <w:rPr>
                <w:rFonts w:ascii="宋体" w:eastAsia="宋体" w:hAnsi="宋体" w:cs="Times New Roman"/>
                <w:sz w:val="24"/>
                <w:szCs w:val="24"/>
              </w:rPr>
            </w:pPr>
            <w:r>
              <w:rPr>
                <w:rFonts w:ascii="宋体" w:eastAsia="宋体" w:hAnsi="宋体" w:cs="Times New Roman"/>
                <w:sz w:val="24"/>
                <w:szCs w:val="24"/>
              </w:rPr>
              <w:t>东方红先进制造混合型证券投资基金</w:t>
            </w: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类份额</w:t>
            </w:r>
            <w:r>
              <w:rPr>
                <w:rFonts w:ascii="宋体" w:eastAsia="宋体" w:hAnsi="宋体" w:cs="Times New Roman"/>
                <w:sz w:val="24"/>
                <w:szCs w:val="24"/>
              </w:rPr>
              <w:t>017848</w:t>
            </w:r>
          </w:p>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类份额</w:t>
            </w:r>
            <w:r>
              <w:rPr>
                <w:rFonts w:ascii="宋体" w:eastAsia="宋体" w:hAnsi="宋体" w:cs="Times New Roman"/>
                <w:sz w:val="24"/>
                <w:szCs w:val="24"/>
              </w:rPr>
              <w:t>017849</w:t>
            </w:r>
          </w:p>
          <w:p w:rsidR="00B73621" w:rsidRDefault="00B73621">
            <w:pPr>
              <w:spacing w:line="360" w:lineRule="auto"/>
              <w:jc w:val="center"/>
              <w:rPr>
                <w:rFonts w:ascii="宋体" w:eastAsia="宋体" w:hAnsi="宋体" w:cs="Times New Roman"/>
                <w:sz w:val="24"/>
                <w:szCs w:val="24"/>
              </w:rPr>
            </w:pPr>
          </w:p>
        </w:tc>
        <w:tc>
          <w:tcPr>
            <w:tcW w:w="3685"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暂停办理申购（含定期定额投资、转换转入）、赎回（含转换转出）业务</w:t>
            </w:r>
          </w:p>
        </w:tc>
      </w:tr>
      <w:tr w:rsidR="00B73621">
        <w:tc>
          <w:tcPr>
            <w:tcW w:w="3119"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东方红颐安稳健养老目标一年持有期混合型基金中基金（</w:t>
            </w:r>
            <w:r>
              <w:rPr>
                <w:rFonts w:ascii="宋体" w:eastAsia="宋体" w:hAnsi="宋体" w:cs="Times New Roman"/>
                <w:sz w:val="24"/>
                <w:szCs w:val="24"/>
              </w:rPr>
              <w:t>FOF</w:t>
            </w:r>
            <w:r>
              <w:rPr>
                <w:rFonts w:ascii="宋体" w:eastAsia="宋体" w:hAnsi="宋体" w:cs="Times New Roman" w:hint="eastAsia"/>
                <w:sz w:val="24"/>
                <w:szCs w:val="24"/>
              </w:rPr>
              <w:t>）</w:t>
            </w:r>
          </w:p>
        </w:tc>
        <w:tc>
          <w:tcPr>
            <w:tcW w:w="2127" w:type="dxa"/>
          </w:tcPr>
          <w:p w:rsidR="00B73621" w:rsidRDefault="00316E25">
            <w:pPr>
              <w:spacing w:line="360" w:lineRule="auto"/>
              <w:jc w:val="left"/>
              <w:rPr>
                <w:rFonts w:ascii="宋体" w:eastAsia="宋体" w:hAnsi="宋体" w:cs="Times New Roman"/>
                <w:sz w:val="24"/>
                <w:szCs w:val="24"/>
              </w:rPr>
            </w:pPr>
            <w:r>
              <w:rPr>
                <w:rFonts w:ascii="宋体" w:eastAsia="宋体" w:hAnsi="宋体" w:cs="Times New Roman"/>
                <w:sz w:val="24"/>
                <w:szCs w:val="24"/>
              </w:rPr>
              <w:t>017775</w:t>
            </w:r>
          </w:p>
        </w:tc>
        <w:tc>
          <w:tcPr>
            <w:tcW w:w="3685"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暂停办理申购（含定期定额投资）业务；赎回业务暂未开通办理</w:t>
            </w:r>
          </w:p>
        </w:tc>
      </w:tr>
      <w:tr w:rsidR="00B73621">
        <w:tc>
          <w:tcPr>
            <w:tcW w:w="3119"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东方红睿满沪港深灵活配置混合型证券投资基金（</w:t>
            </w:r>
            <w:r>
              <w:rPr>
                <w:rFonts w:ascii="宋体" w:eastAsia="宋体" w:hAnsi="宋体" w:cs="Times New Roman"/>
                <w:sz w:val="24"/>
                <w:szCs w:val="24"/>
              </w:rPr>
              <w:t>LOF</w:t>
            </w:r>
            <w:r>
              <w:rPr>
                <w:rFonts w:ascii="宋体" w:eastAsia="宋体" w:hAnsi="宋体" w:cs="Times New Roman"/>
                <w:sz w:val="24"/>
                <w:szCs w:val="24"/>
              </w:rPr>
              <w:t>）</w:t>
            </w: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类份额</w:t>
            </w:r>
            <w:r>
              <w:rPr>
                <w:rFonts w:ascii="宋体" w:eastAsia="宋体" w:hAnsi="宋体" w:cs="Times New Roman" w:hint="eastAsia"/>
                <w:sz w:val="24"/>
                <w:szCs w:val="24"/>
              </w:rPr>
              <w:t>169104</w:t>
            </w:r>
          </w:p>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类份额</w:t>
            </w:r>
            <w:r>
              <w:rPr>
                <w:rFonts w:ascii="宋体" w:eastAsia="宋体" w:hAnsi="宋体" w:cs="Times New Roman" w:hint="eastAsia"/>
                <w:sz w:val="24"/>
                <w:szCs w:val="24"/>
              </w:rPr>
              <w:t>0</w:t>
            </w:r>
            <w:r>
              <w:rPr>
                <w:rFonts w:ascii="宋体" w:eastAsia="宋体" w:hAnsi="宋体" w:cs="Times New Roman"/>
                <w:sz w:val="24"/>
                <w:szCs w:val="24"/>
              </w:rPr>
              <w:t>18948</w:t>
            </w:r>
          </w:p>
        </w:tc>
        <w:tc>
          <w:tcPr>
            <w:tcW w:w="3685"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暂停办理申购（含定期定额投资、转换转入）、赎回（含转换转出）业务</w:t>
            </w:r>
          </w:p>
        </w:tc>
      </w:tr>
      <w:tr w:rsidR="00B73621">
        <w:tc>
          <w:tcPr>
            <w:tcW w:w="3119"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东方红睿华沪港深灵活配置混合型证券投资基金（</w:t>
            </w:r>
            <w:r>
              <w:rPr>
                <w:rFonts w:ascii="宋体" w:eastAsia="宋体" w:hAnsi="宋体" w:cs="Times New Roman"/>
                <w:sz w:val="24"/>
                <w:szCs w:val="24"/>
              </w:rPr>
              <w:t>LOF</w:t>
            </w:r>
            <w:r>
              <w:rPr>
                <w:rFonts w:ascii="宋体" w:eastAsia="宋体" w:hAnsi="宋体" w:cs="Times New Roman"/>
                <w:sz w:val="24"/>
                <w:szCs w:val="24"/>
              </w:rPr>
              <w:t>）</w:t>
            </w:r>
          </w:p>
        </w:tc>
        <w:tc>
          <w:tcPr>
            <w:tcW w:w="2127"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A</w:t>
            </w:r>
            <w:r>
              <w:rPr>
                <w:rFonts w:ascii="宋体" w:eastAsia="宋体" w:hAnsi="宋体" w:cs="Times New Roman" w:hint="eastAsia"/>
                <w:sz w:val="24"/>
                <w:szCs w:val="24"/>
              </w:rPr>
              <w:t>类份额</w:t>
            </w:r>
            <w:r>
              <w:rPr>
                <w:rFonts w:ascii="宋体" w:eastAsia="宋体" w:hAnsi="宋体" w:cs="Times New Roman" w:hint="eastAsia"/>
                <w:sz w:val="24"/>
                <w:szCs w:val="24"/>
              </w:rPr>
              <w:t>169105</w:t>
            </w:r>
          </w:p>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C</w:t>
            </w:r>
            <w:r>
              <w:rPr>
                <w:rFonts w:ascii="宋体" w:eastAsia="宋体" w:hAnsi="宋体" w:cs="Times New Roman" w:hint="eastAsia"/>
                <w:sz w:val="24"/>
                <w:szCs w:val="24"/>
              </w:rPr>
              <w:t>类份额</w:t>
            </w:r>
            <w:r>
              <w:rPr>
                <w:rFonts w:ascii="宋体" w:eastAsia="宋体" w:hAnsi="宋体" w:cs="Times New Roman" w:hint="eastAsia"/>
                <w:sz w:val="24"/>
                <w:szCs w:val="24"/>
              </w:rPr>
              <w:t>0</w:t>
            </w:r>
            <w:r>
              <w:rPr>
                <w:rFonts w:ascii="宋体" w:eastAsia="宋体" w:hAnsi="宋体" w:cs="Times New Roman"/>
                <w:sz w:val="24"/>
                <w:szCs w:val="24"/>
              </w:rPr>
              <w:t>18949</w:t>
            </w:r>
          </w:p>
        </w:tc>
        <w:tc>
          <w:tcPr>
            <w:tcW w:w="3685" w:type="dxa"/>
          </w:tcPr>
          <w:p w:rsidR="00B73621" w:rsidRDefault="00316E25">
            <w:pPr>
              <w:spacing w:line="360" w:lineRule="auto"/>
              <w:rPr>
                <w:rFonts w:ascii="宋体" w:eastAsia="宋体" w:hAnsi="宋体" w:cs="Times New Roman"/>
                <w:sz w:val="24"/>
                <w:szCs w:val="24"/>
              </w:rPr>
            </w:pPr>
            <w:r>
              <w:rPr>
                <w:rFonts w:ascii="宋体" w:eastAsia="宋体" w:hAnsi="宋体" w:cs="Times New Roman" w:hint="eastAsia"/>
                <w:sz w:val="24"/>
                <w:szCs w:val="24"/>
              </w:rPr>
              <w:t>暂停办理申购（含定期定额投资、转换转入）、赎回（含转换转出）业务</w:t>
            </w:r>
          </w:p>
        </w:tc>
      </w:tr>
    </w:tbl>
    <w:p w:rsidR="00B73621" w:rsidRDefault="00B73621">
      <w:pPr>
        <w:spacing w:line="360" w:lineRule="auto"/>
        <w:ind w:firstLineChars="200" w:firstLine="480"/>
        <w:rPr>
          <w:rFonts w:ascii="宋体" w:eastAsia="宋体" w:hAnsi="宋体" w:cs="Times New Roman"/>
          <w:sz w:val="24"/>
          <w:szCs w:val="24"/>
        </w:rPr>
      </w:pPr>
    </w:p>
    <w:p w:rsidR="00B73621" w:rsidRDefault="00316E25">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除上述列</w:t>
      </w:r>
      <w:r>
        <w:rPr>
          <w:rFonts w:ascii="宋体" w:eastAsia="宋体" w:hAnsi="宋体" w:cs="Times New Roman" w:hint="eastAsia"/>
          <w:sz w:val="24"/>
          <w:szCs w:val="24"/>
        </w:rPr>
        <w:t>表基金相关份额外，其余基金份额此次非港股通交易日</w:t>
      </w:r>
      <w:r>
        <w:rPr>
          <w:rFonts w:ascii="宋体" w:eastAsia="宋体" w:hAnsi="宋体" w:cs="Times New Roman" w:hint="eastAsia"/>
          <w:sz w:val="24"/>
          <w:szCs w:val="24"/>
        </w:rPr>
        <w:t>安排仍以管理人</w:t>
      </w:r>
      <w:r>
        <w:rPr>
          <w:rFonts w:ascii="宋体" w:eastAsia="宋体" w:hAnsi="宋体" w:cs="Times New Roman"/>
          <w:sz w:val="24"/>
          <w:szCs w:val="24"/>
        </w:rPr>
        <w:t>2023</w:t>
      </w:r>
      <w:r>
        <w:rPr>
          <w:rFonts w:ascii="宋体" w:eastAsia="宋体" w:hAnsi="宋体" w:cs="Times New Roman"/>
          <w:sz w:val="24"/>
          <w:szCs w:val="24"/>
        </w:rPr>
        <w:t>年</w:t>
      </w:r>
      <w:r>
        <w:rPr>
          <w:rFonts w:ascii="宋体" w:eastAsia="宋体" w:hAnsi="宋体" w:cs="Times New Roman"/>
          <w:sz w:val="24"/>
          <w:szCs w:val="24"/>
        </w:rPr>
        <w:t>4</w:t>
      </w:r>
      <w:r>
        <w:rPr>
          <w:rFonts w:ascii="宋体" w:eastAsia="宋体" w:hAnsi="宋体" w:cs="Times New Roman"/>
          <w:sz w:val="24"/>
          <w:szCs w:val="24"/>
        </w:rPr>
        <w:t>月</w:t>
      </w:r>
      <w:r>
        <w:rPr>
          <w:rFonts w:ascii="宋体" w:eastAsia="宋体" w:hAnsi="宋体" w:cs="Times New Roman"/>
          <w:sz w:val="24"/>
          <w:szCs w:val="24"/>
        </w:rPr>
        <w:t>4</w:t>
      </w:r>
      <w:r>
        <w:rPr>
          <w:rFonts w:ascii="宋体" w:eastAsia="宋体" w:hAnsi="宋体" w:cs="Times New Roman"/>
          <w:sz w:val="24"/>
          <w:szCs w:val="24"/>
        </w:rPr>
        <w:t>日</w:t>
      </w:r>
      <w:r>
        <w:rPr>
          <w:rFonts w:ascii="宋体" w:eastAsia="宋体" w:hAnsi="宋体" w:cs="Times New Roman" w:hint="eastAsia"/>
          <w:sz w:val="24"/>
          <w:szCs w:val="24"/>
        </w:rPr>
        <w:t>发布的《上海东方证券资产管理有限公司关于旗下部分基金新增</w:t>
      </w:r>
      <w:r>
        <w:rPr>
          <w:rFonts w:ascii="宋体" w:eastAsia="宋体" w:hAnsi="宋体" w:cs="Times New Roman"/>
          <w:sz w:val="24"/>
          <w:szCs w:val="24"/>
        </w:rPr>
        <w:t>2023</w:t>
      </w:r>
      <w:r>
        <w:rPr>
          <w:rFonts w:ascii="宋体" w:eastAsia="宋体" w:hAnsi="宋体" w:cs="Times New Roman"/>
          <w:sz w:val="24"/>
          <w:szCs w:val="24"/>
        </w:rPr>
        <w:t>年港股通交易日后调整申购、赎回等业务安排的公告》</w:t>
      </w:r>
      <w:r>
        <w:rPr>
          <w:rFonts w:ascii="宋体" w:eastAsia="宋体" w:hAnsi="宋体" w:cs="Times New Roman" w:hint="eastAsia"/>
          <w:sz w:val="24"/>
          <w:szCs w:val="24"/>
        </w:rPr>
        <w:t>为准。上述基金如</w:t>
      </w: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hint="eastAsia"/>
          <w:sz w:val="24"/>
          <w:szCs w:val="24"/>
        </w:rPr>
        <w:t>1</w:t>
      </w:r>
      <w:r>
        <w:rPr>
          <w:rFonts w:ascii="宋体" w:eastAsia="宋体" w:hAnsi="宋体" w:cs="Times New Roman"/>
          <w:sz w:val="24"/>
          <w:szCs w:val="24"/>
        </w:rPr>
        <w:t>0</w:t>
      </w:r>
      <w:r>
        <w:rPr>
          <w:rFonts w:ascii="宋体" w:eastAsia="宋体" w:hAnsi="宋体" w:cs="Times New Roman" w:hint="eastAsia"/>
          <w:sz w:val="24"/>
          <w:szCs w:val="24"/>
        </w:rPr>
        <w:t>月</w:t>
      </w:r>
      <w:r>
        <w:rPr>
          <w:rFonts w:ascii="宋体" w:eastAsia="宋体" w:hAnsi="宋体" w:cs="Times New Roman" w:hint="eastAsia"/>
          <w:sz w:val="24"/>
          <w:szCs w:val="24"/>
        </w:rPr>
        <w:t>2</w:t>
      </w:r>
      <w:r>
        <w:rPr>
          <w:rFonts w:ascii="宋体" w:eastAsia="宋体" w:hAnsi="宋体" w:cs="Times New Roman"/>
          <w:sz w:val="24"/>
          <w:szCs w:val="24"/>
        </w:rPr>
        <w:t>3</w:t>
      </w:r>
      <w:r>
        <w:rPr>
          <w:rFonts w:ascii="宋体" w:eastAsia="宋体" w:hAnsi="宋体" w:cs="Times New Roman" w:hint="eastAsia"/>
          <w:sz w:val="24"/>
          <w:szCs w:val="24"/>
        </w:rPr>
        <w:t>日暂停办理相关业务的，将于</w:t>
      </w:r>
      <w:r>
        <w:rPr>
          <w:rFonts w:ascii="宋体" w:eastAsia="宋体" w:hAnsi="宋体" w:cs="Times New Roman" w:hint="eastAsia"/>
          <w:sz w:val="24"/>
          <w:szCs w:val="24"/>
        </w:rPr>
        <w:t>2</w:t>
      </w:r>
      <w:r>
        <w:rPr>
          <w:rFonts w:ascii="宋体" w:eastAsia="宋体" w:hAnsi="宋体" w:cs="Times New Roman"/>
          <w:sz w:val="24"/>
          <w:szCs w:val="24"/>
        </w:rPr>
        <w:t>023</w:t>
      </w:r>
      <w:r>
        <w:rPr>
          <w:rFonts w:ascii="宋体" w:eastAsia="宋体" w:hAnsi="宋体" w:cs="Times New Roman" w:hint="eastAsia"/>
          <w:sz w:val="24"/>
          <w:szCs w:val="24"/>
        </w:rPr>
        <w:t>年</w:t>
      </w:r>
      <w:r>
        <w:rPr>
          <w:rFonts w:ascii="宋体" w:eastAsia="宋体" w:hAnsi="宋体" w:cs="Times New Roman" w:hint="eastAsia"/>
          <w:sz w:val="24"/>
          <w:szCs w:val="24"/>
        </w:rPr>
        <w:t>1</w:t>
      </w:r>
      <w:r>
        <w:rPr>
          <w:rFonts w:ascii="宋体" w:eastAsia="宋体" w:hAnsi="宋体" w:cs="Times New Roman"/>
          <w:sz w:val="24"/>
          <w:szCs w:val="24"/>
        </w:rPr>
        <w:t>0</w:t>
      </w:r>
      <w:r>
        <w:rPr>
          <w:rFonts w:ascii="宋体" w:eastAsia="宋体" w:hAnsi="宋体" w:cs="Times New Roman" w:hint="eastAsia"/>
          <w:sz w:val="24"/>
          <w:szCs w:val="24"/>
        </w:rPr>
        <w:t>月</w:t>
      </w:r>
      <w:r>
        <w:rPr>
          <w:rFonts w:ascii="宋体" w:eastAsia="宋体" w:hAnsi="宋体" w:cs="Times New Roman" w:hint="eastAsia"/>
          <w:sz w:val="24"/>
          <w:szCs w:val="24"/>
        </w:rPr>
        <w:t>2</w:t>
      </w:r>
      <w:r>
        <w:rPr>
          <w:rFonts w:ascii="宋体" w:eastAsia="宋体" w:hAnsi="宋体" w:cs="Times New Roman"/>
          <w:sz w:val="24"/>
          <w:szCs w:val="24"/>
        </w:rPr>
        <w:t>4</w:t>
      </w:r>
      <w:r>
        <w:rPr>
          <w:rFonts w:ascii="宋体" w:eastAsia="宋体" w:hAnsi="宋体" w:cs="Times New Roman" w:hint="eastAsia"/>
          <w:sz w:val="24"/>
          <w:szCs w:val="24"/>
        </w:rPr>
        <w:t>日（含）起恢复办理相关业务。</w:t>
      </w:r>
    </w:p>
    <w:p w:rsidR="00B73621" w:rsidRDefault="00B73621">
      <w:pPr>
        <w:spacing w:line="360" w:lineRule="auto"/>
        <w:ind w:firstLineChars="200" w:firstLine="480"/>
        <w:rPr>
          <w:rFonts w:ascii="宋体" w:eastAsia="宋体" w:hAnsi="宋体" w:cs="Times New Roman"/>
          <w:sz w:val="24"/>
          <w:szCs w:val="24"/>
        </w:rPr>
      </w:pPr>
    </w:p>
    <w:p w:rsidR="00B73621" w:rsidRDefault="00316E25">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w:t>
      </w:r>
      <w:r>
        <w:rPr>
          <w:rFonts w:ascii="宋体" w:eastAsia="宋体" w:hAnsi="宋体" w:cs="Times New Roman" w:hint="eastAsia"/>
          <w:sz w:val="24"/>
          <w:szCs w:val="24"/>
        </w:rPr>
        <w:t>自身的风险承受</w:t>
      </w:r>
      <w:bookmarkStart w:id="0" w:name="_GoBack"/>
      <w:bookmarkEnd w:id="0"/>
      <w:r>
        <w:rPr>
          <w:rFonts w:ascii="宋体" w:eastAsia="宋体" w:hAnsi="宋体" w:cs="Times New Roman" w:hint="eastAsia"/>
          <w:sz w:val="24"/>
          <w:szCs w:val="24"/>
        </w:rPr>
        <w:t>能力购买风险等级相匹配的产品。投资者应当充分了解基金定期定额投资和零存整取等储蓄方式的区别。基金定期定额投资是引导投资者进行长期投资，平均投资成本的一种简单易行的投资方式。但是定期定额投</w:t>
      </w:r>
      <w:r>
        <w:rPr>
          <w:rFonts w:ascii="宋体" w:eastAsia="宋体" w:hAnsi="宋体" w:cs="Times New Roman" w:hint="eastAsia"/>
          <w:sz w:val="24"/>
          <w:szCs w:val="24"/>
        </w:rPr>
        <w:lastRenderedPageBreak/>
        <w:t>资并不能规避基金投资所固有的风险，不能保证投资者获得收益，也不是替代储蓄的等效理财方式。</w:t>
      </w:r>
    </w:p>
    <w:p w:rsidR="00B73621" w:rsidRDefault="00B73621">
      <w:pPr>
        <w:spacing w:line="360" w:lineRule="auto"/>
        <w:ind w:firstLineChars="200" w:firstLine="480"/>
        <w:jc w:val="right"/>
        <w:rPr>
          <w:rFonts w:ascii="宋体" w:eastAsia="宋体" w:hAnsi="宋体" w:cs="Times New Roman"/>
          <w:sz w:val="24"/>
          <w:szCs w:val="24"/>
        </w:rPr>
      </w:pPr>
    </w:p>
    <w:p w:rsidR="00B73621" w:rsidRDefault="00316E25">
      <w:pPr>
        <w:spacing w:line="360" w:lineRule="auto"/>
        <w:ind w:firstLineChars="200" w:firstLine="480"/>
        <w:jc w:val="right"/>
        <w:rPr>
          <w:rFonts w:ascii="宋体" w:eastAsia="宋体" w:hAnsi="宋体" w:cs="Times New Roman"/>
          <w:sz w:val="24"/>
          <w:szCs w:val="24"/>
        </w:rPr>
      </w:pPr>
      <w:r>
        <w:rPr>
          <w:rFonts w:ascii="宋体" w:eastAsia="宋体" w:hAnsi="宋体" w:cs="Times New Roman" w:hint="eastAsia"/>
          <w:sz w:val="24"/>
          <w:szCs w:val="24"/>
        </w:rPr>
        <w:t>上海东方证券资产管理有限公司</w:t>
      </w:r>
    </w:p>
    <w:p w:rsidR="00B73621" w:rsidRDefault="00316E25">
      <w:pPr>
        <w:spacing w:line="360" w:lineRule="auto"/>
        <w:ind w:firstLineChars="200" w:firstLine="480"/>
        <w:jc w:val="right"/>
        <w:rPr>
          <w:rFonts w:ascii="宋体" w:eastAsia="宋体" w:hAnsi="宋体" w:cs="Times New Roman"/>
          <w:sz w:val="24"/>
          <w:szCs w:val="24"/>
        </w:rPr>
      </w:pPr>
      <w:r>
        <w:rPr>
          <w:rFonts w:ascii="宋体" w:eastAsia="宋体" w:hAnsi="宋体" w:cs="Times New Roman"/>
          <w:sz w:val="24"/>
          <w:szCs w:val="24"/>
        </w:rPr>
        <w:t>2023</w:t>
      </w:r>
      <w:r>
        <w:rPr>
          <w:rFonts w:ascii="宋体" w:eastAsia="宋体" w:hAnsi="宋体" w:cs="Times New Roman"/>
          <w:sz w:val="24"/>
          <w:szCs w:val="24"/>
        </w:rPr>
        <w:t>年</w:t>
      </w:r>
      <w:r>
        <w:rPr>
          <w:rFonts w:ascii="宋体" w:eastAsia="宋体" w:hAnsi="宋体" w:cs="Times New Roman"/>
          <w:sz w:val="24"/>
          <w:szCs w:val="24"/>
        </w:rPr>
        <w:t>10</w:t>
      </w:r>
      <w:r>
        <w:rPr>
          <w:rFonts w:ascii="宋体" w:eastAsia="宋体" w:hAnsi="宋体" w:cs="Times New Roman"/>
          <w:sz w:val="24"/>
          <w:szCs w:val="24"/>
        </w:rPr>
        <w:t>月</w:t>
      </w:r>
      <w:r>
        <w:rPr>
          <w:rFonts w:ascii="宋体" w:eastAsia="宋体" w:hAnsi="宋体" w:cs="Times New Roman"/>
          <w:sz w:val="24"/>
          <w:szCs w:val="24"/>
        </w:rPr>
        <w:t>20</w:t>
      </w:r>
      <w:r>
        <w:rPr>
          <w:rFonts w:ascii="宋体" w:eastAsia="宋体" w:hAnsi="宋体" w:cs="Times New Roman"/>
          <w:sz w:val="24"/>
          <w:szCs w:val="24"/>
        </w:rPr>
        <w:t>日</w:t>
      </w:r>
    </w:p>
    <w:sectPr w:rsidR="00B73621" w:rsidSect="00B736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507F37"/>
    <w:rsid w:val="00031434"/>
    <w:rsid w:val="00046C85"/>
    <w:rsid w:val="00046F2C"/>
    <w:rsid w:val="00054C60"/>
    <w:rsid w:val="000B262D"/>
    <w:rsid w:val="000C1FF3"/>
    <w:rsid w:val="000C7030"/>
    <w:rsid w:val="000E3E60"/>
    <w:rsid w:val="000F2AD6"/>
    <w:rsid w:val="0010002D"/>
    <w:rsid w:val="00117A8B"/>
    <w:rsid w:val="00166795"/>
    <w:rsid w:val="00167FEF"/>
    <w:rsid w:val="00174FEB"/>
    <w:rsid w:val="001C0C87"/>
    <w:rsid w:val="001C6223"/>
    <w:rsid w:val="001F38DB"/>
    <w:rsid w:val="00232565"/>
    <w:rsid w:val="002863F3"/>
    <w:rsid w:val="00316E25"/>
    <w:rsid w:val="00372F6D"/>
    <w:rsid w:val="00375C8D"/>
    <w:rsid w:val="00396B18"/>
    <w:rsid w:val="003F6C99"/>
    <w:rsid w:val="003F7B79"/>
    <w:rsid w:val="0043374F"/>
    <w:rsid w:val="00436F47"/>
    <w:rsid w:val="00441547"/>
    <w:rsid w:val="00455502"/>
    <w:rsid w:val="004635D8"/>
    <w:rsid w:val="004C01CD"/>
    <w:rsid w:val="004E4CCD"/>
    <w:rsid w:val="004F084D"/>
    <w:rsid w:val="004F5AD8"/>
    <w:rsid w:val="00507F37"/>
    <w:rsid w:val="00511ED9"/>
    <w:rsid w:val="0051331A"/>
    <w:rsid w:val="00520B71"/>
    <w:rsid w:val="0052320D"/>
    <w:rsid w:val="005339BF"/>
    <w:rsid w:val="0055206E"/>
    <w:rsid w:val="005957A9"/>
    <w:rsid w:val="005B510C"/>
    <w:rsid w:val="005C1983"/>
    <w:rsid w:val="006034DF"/>
    <w:rsid w:val="00607D09"/>
    <w:rsid w:val="00662E58"/>
    <w:rsid w:val="006678A7"/>
    <w:rsid w:val="00685D30"/>
    <w:rsid w:val="006B36C0"/>
    <w:rsid w:val="006B3C0F"/>
    <w:rsid w:val="00701B8C"/>
    <w:rsid w:val="00745E9F"/>
    <w:rsid w:val="00751A11"/>
    <w:rsid w:val="007640D8"/>
    <w:rsid w:val="00794FCE"/>
    <w:rsid w:val="00795AD4"/>
    <w:rsid w:val="00796E37"/>
    <w:rsid w:val="007B3CAC"/>
    <w:rsid w:val="007D4DB2"/>
    <w:rsid w:val="007E4632"/>
    <w:rsid w:val="007F4E83"/>
    <w:rsid w:val="007F6426"/>
    <w:rsid w:val="007F64AD"/>
    <w:rsid w:val="00833A59"/>
    <w:rsid w:val="00852C53"/>
    <w:rsid w:val="00866332"/>
    <w:rsid w:val="0087712D"/>
    <w:rsid w:val="00884F33"/>
    <w:rsid w:val="00892F06"/>
    <w:rsid w:val="009359C8"/>
    <w:rsid w:val="00944753"/>
    <w:rsid w:val="00962703"/>
    <w:rsid w:val="00995723"/>
    <w:rsid w:val="009E4E8E"/>
    <w:rsid w:val="00A101C3"/>
    <w:rsid w:val="00A11BB3"/>
    <w:rsid w:val="00A1552C"/>
    <w:rsid w:val="00A41464"/>
    <w:rsid w:val="00A42454"/>
    <w:rsid w:val="00A523BC"/>
    <w:rsid w:val="00A807B0"/>
    <w:rsid w:val="00A86DEC"/>
    <w:rsid w:val="00A86E54"/>
    <w:rsid w:val="00AA20CE"/>
    <w:rsid w:val="00AA4DA9"/>
    <w:rsid w:val="00AA4EB4"/>
    <w:rsid w:val="00AB3AD1"/>
    <w:rsid w:val="00AD313B"/>
    <w:rsid w:val="00AF3F6A"/>
    <w:rsid w:val="00B2002D"/>
    <w:rsid w:val="00B570EF"/>
    <w:rsid w:val="00B578E8"/>
    <w:rsid w:val="00B73621"/>
    <w:rsid w:val="00B97843"/>
    <w:rsid w:val="00B97C01"/>
    <w:rsid w:val="00BA1026"/>
    <w:rsid w:val="00BB44B7"/>
    <w:rsid w:val="00BD6E43"/>
    <w:rsid w:val="00BE1AC1"/>
    <w:rsid w:val="00BF4891"/>
    <w:rsid w:val="00C30222"/>
    <w:rsid w:val="00C34D69"/>
    <w:rsid w:val="00C45983"/>
    <w:rsid w:val="00C81CD2"/>
    <w:rsid w:val="00C855AD"/>
    <w:rsid w:val="00C87CE1"/>
    <w:rsid w:val="00CA18F5"/>
    <w:rsid w:val="00CB4655"/>
    <w:rsid w:val="00CD3EB8"/>
    <w:rsid w:val="00CE56F9"/>
    <w:rsid w:val="00D4773C"/>
    <w:rsid w:val="00D55B69"/>
    <w:rsid w:val="00D6119C"/>
    <w:rsid w:val="00D62DBF"/>
    <w:rsid w:val="00D71184"/>
    <w:rsid w:val="00D81DD0"/>
    <w:rsid w:val="00E16E20"/>
    <w:rsid w:val="00E24BBC"/>
    <w:rsid w:val="00E30877"/>
    <w:rsid w:val="00E600BB"/>
    <w:rsid w:val="00E62238"/>
    <w:rsid w:val="00E73ABA"/>
    <w:rsid w:val="00E773A1"/>
    <w:rsid w:val="00E939D0"/>
    <w:rsid w:val="00E93A29"/>
    <w:rsid w:val="00E9529A"/>
    <w:rsid w:val="00ED24C2"/>
    <w:rsid w:val="00ED3BBE"/>
    <w:rsid w:val="00ED64CA"/>
    <w:rsid w:val="00EE10D8"/>
    <w:rsid w:val="00EF713F"/>
    <w:rsid w:val="00F1080F"/>
    <w:rsid w:val="00F5003F"/>
    <w:rsid w:val="00F63F48"/>
    <w:rsid w:val="00F723E2"/>
    <w:rsid w:val="00FB1945"/>
    <w:rsid w:val="00FB7141"/>
    <w:rsid w:val="00FE20D3"/>
    <w:rsid w:val="06B47275"/>
    <w:rsid w:val="2DDA55FA"/>
    <w:rsid w:val="336C778F"/>
    <w:rsid w:val="3D963C47"/>
    <w:rsid w:val="49B45FAF"/>
    <w:rsid w:val="5975226F"/>
    <w:rsid w:val="5A590A16"/>
    <w:rsid w:val="621E567D"/>
    <w:rsid w:val="6AB20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2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73621"/>
    <w:pPr>
      <w:jc w:val="left"/>
    </w:pPr>
  </w:style>
  <w:style w:type="paragraph" w:styleId="a4">
    <w:name w:val="Balloon Text"/>
    <w:basedOn w:val="a"/>
    <w:link w:val="Char0"/>
    <w:uiPriority w:val="99"/>
    <w:semiHidden/>
    <w:unhideWhenUsed/>
    <w:qFormat/>
    <w:rsid w:val="00B73621"/>
    <w:rPr>
      <w:sz w:val="18"/>
      <w:szCs w:val="18"/>
    </w:rPr>
  </w:style>
  <w:style w:type="paragraph" w:styleId="a5">
    <w:name w:val="footer"/>
    <w:basedOn w:val="a"/>
    <w:link w:val="Char1"/>
    <w:uiPriority w:val="99"/>
    <w:unhideWhenUsed/>
    <w:qFormat/>
    <w:rsid w:val="00B73621"/>
    <w:pPr>
      <w:tabs>
        <w:tab w:val="center" w:pos="4153"/>
        <w:tab w:val="right" w:pos="8306"/>
      </w:tabs>
      <w:snapToGrid w:val="0"/>
      <w:jc w:val="left"/>
    </w:pPr>
    <w:rPr>
      <w:sz w:val="18"/>
      <w:szCs w:val="18"/>
    </w:rPr>
  </w:style>
  <w:style w:type="paragraph" w:styleId="a6">
    <w:name w:val="header"/>
    <w:basedOn w:val="a"/>
    <w:link w:val="Char2"/>
    <w:uiPriority w:val="99"/>
    <w:unhideWhenUsed/>
    <w:rsid w:val="00B7362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73621"/>
    <w:rPr>
      <w:b/>
      <w:bCs/>
    </w:rPr>
  </w:style>
  <w:style w:type="table" w:styleId="a8">
    <w:name w:val="Table Grid"/>
    <w:basedOn w:val="a1"/>
    <w:uiPriority w:val="39"/>
    <w:qFormat/>
    <w:rsid w:val="00B7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73621"/>
    <w:rPr>
      <w:sz w:val="21"/>
      <w:szCs w:val="21"/>
    </w:rPr>
  </w:style>
  <w:style w:type="character" w:customStyle="1" w:styleId="Char2">
    <w:name w:val="页眉 Char"/>
    <w:basedOn w:val="a0"/>
    <w:link w:val="a6"/>
    <w:uiPriority w:val="99"/>
    <w:qFormat/>
    <w:rsid w:val="00B73621"/>
    <w:rPr>
      <w:sz w:val="18"/>
      <w:szCs w:val="18"/>
    </w:rPr>
  </w:style>
  <w:style w:type="character" w:customStyle="1" w:styleId="Char1">
    <w:name w:val="页脚 Char"/>
    <w:basedOn w:val="a0"/>
    <w:link w:val="a5"/>
    <w:uiPriority w:val="99"/>
    <w:qFormat/>
    <w:rsid w:val="00B73621"/>
    <w:rPr>
      <w:sz w:val="18"/>
      <w:szCs w:val="18"/>
    </w:rPr>
  </w:style>
  <w:style w:type="character" w:customStyle="1" w:styleId="Char">
    <w:name w:val="批注文字 Char"/>
    <w:basedOn w:val="a0"/>
    <w:link w:val="a3"/>
    <w:uiPriority w:val="99"/>
    <w:semiHidden/>
    <w:qFormat/>
    <w:rsid w:val="00B73621"/>
  </w:style>
  <w:style w:type="character" w:customStyle="1" w:styleId="Char3">
    <w:name w:val="批注主题 Char"/>
    <w:basedOn w:val="Char"/>
    <w:link w:val="a7"/>
    <w:uiPriority w:val="99"/>
    <w:semiHidden/>
    <w:qFormat/>
    <w:rsid w:val="00B73621"/>
    <w:rPr>
      <w:b/>
      <w:bCs/>
    </w:rPr>
  </w:style>
  <w:style w:type="character" w:customStyle="1" w:styleId="Char0">
    <w:name w:val="批注框文本 Char"/>
    <w:basedOn w:val="a0"/>
    <w:link w:val="a4"/>
    <w:uiPriority w:val="99"/>
    <w:semiHidden/>
    <w:qFormat/>
    <w:rsid w:val="00B73621"/>
    <w:rPr>
      <w:sz w:val="18"/>
      <w:szCs w:val="18"/>
    </w:rPr>
  </w:style>
  <w:style w:type="paragraph" w:customStyle="1" w:styleId="1">
    <w:name w:val="修订1"/>
    <w:hidden/>
    <w:uiPriority w:val="99"/>
    <w:semiHidden/>
    <w:qFormat/>
    <w:rsid w:val="00B73621"/>
    <w:rPr>
      <w:rFonts w:asciiTheme="minorHAnsi" w:eastAsiaTheme="minorEastAsia" w:hAnsiTheme="minorHAnsi" w:cstheme="minorBidi"/>
      <w:kern w:val="2"/>
      <w:sz w:val="21"/>
      <w:szCs w:val="22"/>
    </w:rPr>
  </w:style>
  <w:style w:type="character" w:customStyle="1" w:styleId="font2">
    <w:name w:val="font2"/>
    <w:basedOn w:val="a0"/>
    <w:qFormat/>
    <w:rsid w:val="00B73621"/>
  </w:style>
  <w:style w:type="character" w:customStyle="1" w:styleId="font0">
    <w:name w:val="font0"/>
    <w:basedOn w:val="a0"/>
    <w:qFormat/>
    <w:rsid w:val="00B73621"/>
  </w:style>
  <w:style w:type="character" w:customStyle="1" w:styleId="font11">
    <w:name w:val="font11"/>
    <w:basedOn w:val="a0"/>
    <w:qFormat/>
    <w:rsid w:val="00B73621"/>
    <w:rPr>
      <w:rFonts w:ascii="宋体" w:eastAsia="宋体" w:hAnsi="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1333</Characters>
  <Application>Microsoft Office Word</Application>
  <DocSecurity>4</DocSecurity>
  <Lines>11</Lines>
  <Paragraphs>3</Paragraphs>
  <ScaleCrop>false</ScaleCrop>
  <Company>CNSTOCK</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sundongni</dc:creator>
  <cp:lastModifiedBy>ZHONGM</cp:lastModifiedBy>
  <cp:revision>2</cp:revision>
  <dcterms:created xsi:type="dcterms:W3CDTF">2023-10-19T16:01:00Z</dcterms:created>
  <dcterms:modified xsi:type="dcterms:W3CDTF">2023-10-19T16:01:00Z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B52485654A5B46B5826A029014164345</vt:lpwstr>
  </property>
</Properties>
</file>