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D6" w:rsidRDefault="00BB46D6"/>
    <w:p w:rsidR="00BB46D6" w:rsidRDefault="00F358BF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博时安盈债券型证券投资基金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BB46D6" w:rsidRDefault="00F358BF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2023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10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20</w:t>
      </w:r>
      <w:r>
        <w:rPr>
          <w:rFonts w:ascii="宋体" w:eastAsia="宋体" w:hAnsi="宋体"/>
          <w:b/>
          <w:sz w:val="24"/>
        </w:rPr>
        <w:t>日</w:t>
      </w:r>
    </w:p>
    <w:p w:rsidR="00BB46D6" w:rsidRDefault="00BB46D6">
      <w:pPr>
        <w:jc w:val="center"/>
        <w:rPr>
          <w:rFonts w:ascii="宋体" w:eastAsia="宋体" w:hAnsi="宋体"/>
          <w:b/>
          <w:sz w:val="24"/>
        </w:rPr>
      </w:pPr>
    </w:p>
    <w:p w:rsidR="00BB46D6" w:rsidRDefault="00F358BF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1670"/>
        <w:gridCol w:w="1670"/>
        <w:gridCol w:w="1776"/>
        <w:gridCol w:w="1703"/>
        <w:gridCol w:w="1703"/>
      </w:tblGrid>
      <w:tr w:rsidR="00BB46D6">
        <w:tc>
          <w:tcPr>
            <w:tcW w:w="3340" w:type="dxa"/>
            <w:gridSpan w:val="2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博时安盈债券型证券投资基金</w:t>
            </w:r>
          </w:p>
        </w:tc>
      </w:tr>
      <w:tr w:rsidR="00BB46D6">
        <w:tc>
          <w:tcPr>
            <w:tcW w:w="3340" w:type="dxa"/>
            <w:gridSpan w:val="2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</w:p>
        </w:tc>
      </w:tr>
      <w:tr w:rsidR="00BB46D6">
        <w:tc>
          <w:tcPr>
            <w:tcW w:w="3340" w:type="dxa"/>
            <w:gridSpan w:val="2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000084</w:t>
            </w:r>
          </w:p>
        </w:tc>
      </w:tr>
      <w:tr w:rsidR="00BB46D6">
        <w:tc>
          <w:tcPr>
            <w:tcW w:w="3340" w:type="dxa"/>
            <w:gridSpan w:val="2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BB46D6">
        <w:tc>
          <w:tcPr>
            <w:tcW w:w="3340" w:type="dxa"/>
            <w:gridSpan w:val="2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根据有关法律法规及《博时安盈债券型证券投资基金基金合同》、《博时安盈债券型证券投资基金招募说明书》等的规定</w:t>
            </w:r>
          </w:p>
        </w:tc>
      </w:tr>
      <w:tr w:rsidR="00BB46D6">
        <w:tc>
          <w:tcPr>
            <w:tcW w:w="1670" w:type="dxa"/>
            <w:vMerge w:val="restart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1670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23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B46D6">
        <w:tc>
          <w:tcPr>
            <w:tcW w:w="1670" w:type="dxa"/>
            <w:vMerge/>
            <w:vAlign w:val="center"/>
          </w:tcPr>
          <w:p w:rsidR="00BB46D6" w:rsidRDefault="00BB46D6"/>
        </w:tc>
        <w:tc>
          <w:tcPr>
            <w:tcW w:w="1670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23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B46D6">
        <w:tc>
          <w:tcPr>
            <w:tcW w:w="1670" w:type="dxa"/>
            <w:vMerge/>
            <w:vAlign w:val="center"/>
          </w:tcPr>
          <w:p w:rsidR="00BB46D6" w:rsidRDefault="00BB46D6"/>
        </w:tc>
        <w:tc>
          <w:tcPr>
            <w:tcW w:w="1670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23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B46D6">
        <w:tc>
          <w:tcPr>
            <w:tcW w:w="1670" w:type="dxa"/>
            <w:vMerge/>
            <w:vAlign w:val="center"/>
          </w:tcPr>
          <w:p w:rsidR="00BB46D6" w:rsidRDefault="00BB46D6"/>
        </w:tc>
        <w:tc>
          <w:tcPr>
            <w:tcW w:w="1670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BB46D6">
        <w:tc>
          <w:tcPr>
            <w:tcW w:w="1670" w:type="dxa"/>
            <w:vMerge/>
            <w:vAlign w:val="center"/>
          </w:tcPr>
          <w:p w:rsidR="00BB46D6" w:rsidRDefault="00BB46D6"/>
        </w:tc>
        <w:tc>
          <w:tcPr>
            <w:tcW w:w="1670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BB46D6">
        <w:tc>
          <w:tcPr>
            <w:tcW w:w="1670" w:type="dxa"/>
            <w:vMerge/>
            <w:vAlign w:val="center"/>
          </w:tcPr>
          <w:p w:rsidR="00BB46D6" w:rsidRDefault="00BB46D6"/>
        </w:tc>
        <w:tc>
          <w:tcPr>
            <w:tcW w:w="1670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BB46D6">
        <w:tc>
          <w:tcPr>
            <w:tcW w:w="1670" w:type="dxa"/>
            <w:vMerge/>
            <w:vAlign w:val="center"/>
          </w:tcPr>
          <w:p w:rsidR="00BB46D6" w:rsidRDefault="00BB46D6"/>
        </w:tc>
        <w:tc>
          <w:tcPr>
            <w:tcW w:w="1670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5182" w:type="dxa"/>
            <w:gridSpan w:val="3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BB46D6">
        <w:tc>
          <w:tcPr>
            <w:tcW w:w="3340" w:type="dxa"/>
            <w:gridSpan w:val="2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1776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1703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  <w:tc>
          <w:tcPr>
            <w:tcW w:w="1703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  <w:r>
              <w:rPr>
                <w:rFonts w:ascii="宋体" w:eastAsia="宋体" w:hAnsi="宋体"/>
                <w:sz w:val="24"/>
              </w:rPr>
              <w:t>E</w:t>
            </w:r>
          </w:p>
        </w:tc>
      </w:tr>
      <w:tr w:rsidR="00BB46D6">
        <w:tc>
          <w:tcPr>
            <w:tcW w:w="3340" w:type="dxa"/>
            <w:gridSpan w:val="2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1776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000084</w:t>
            </w:r>
          </w:p>
        </w:tc>
        <w:tc>
          <w:tcPr>
            <w:tcW w:w="1703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000085</w:t>
            </w:r>
          </w:p>
        </w:tc>
        <w:tc>
          <w:tcPr>
            <w:tcW w:w="1703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019067</w:t>
            </w:r>
          </w:p>
        </w:tc>
      </w:tr>
      <w:tr w:rsidR="00BB46D6">
        <w:tc>
          <w:tcPr>
            <w:tcW w:w="3340" w:type="dxa"/>
            <w:gridSpan w:val="2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1776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3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3" w:type="dxa"/>
            <w:vAlign w:val="center"/>
          </w:tcPr>
          <w:p w:rsidR="00BB46D6" w:rsidRDefault="00F358B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BB46D6" w:rsidRDefault="00BB46D6"/>
    <w:p w:rsidR="00BB46D6" w:rsidRDefault="00F358BF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BB46D6" w:rsidRDefault="00F358BF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日起，本基金</w:t>
      </w:r>
      <w:r>
        <w:rPr>
          <w:rFonts w:hint="eastAsia"/>
        </w:rPr>
        <w:t>A</w:t>
      </w:r>
      <w:r>
        <w:rPr>
          <w:rFonts w:hint="eastAsia"/>
        </w:rPr>
        <w:t>类、</w:t>
      </w:r>
      <w:r>
        <w:rPr>
          <w:rFonts w:hint="eastAsia"/>
        </w:rPr>
        <w:t>C</w:t>
      </w:r>
      <w:r>
        <w:rPr>
          <w:rFonts w:hint="eastAsia"/>
        </w:rPr>
        <w:t>类和</w:t>
      </w:r>
      <w:r>
        <w:rPr>
          <w:rFonts w:hint="eastAsia"/>
        </w:rPr>
        <w:t>E</w:t>
      </w:r>
      <w:r>
        <w:rPr>
          <w:rFonts w:hint="eastAsia"/>
        </w:rPr>
        <w:t>类基金份额单日单个基金账户分别累计申购、转换转入、定期定额投资金额限额为</w:t>
      </w:r>
      <w:r>
        <w:rPr>
          <w:rFonts w:hint="eastAsia"/>
        </w:rPr>
        <w:t>5000</w:t>
      </w:r>
      <w:r>
        <w:rPr>
          <w:rFonts w:hint="eastAsia"/>
        </w:rPr>
        <w:t>万元、</w:t>
      </w:r>
      <w:r>
        <w:rPr>
          <w:rFonts w:hint="eastAsia"/>
        </w:rPr>
        <w:t>200</w:t>
      </w:r>
      <w:r>
        <w:rPr>
          <w:rFonts w:hint="eastAsia"/>
        </w:rPr>
        <w:t>万元和</w:t>
      </w:r>
      <w:r>
        <w:rPr>
          <w:rFonts w:hint="eastAsia"/>
        </w:rPr>
        <w:t>100</w:t>
      </w:r>
      <w:r>
        <w:rPr>
          <w:rFonts w:hint="eastAsia"/>
        </w:rPr>
        <w:t>万元（本基金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三类基金份额申请金额不予以合计）；如单日</w:t>
      </w:r>
      <w:r>
        <w:rPr>
          <w:rFonts w:hint="eastAsia"/>
        </w:rPr>
        <w:t>A</w:t>
      </w:r>
      <w:r>
        <w:rPr>
          <w:rFonts w:hint="eastAsia"/>
        </w:rPr>
        <w:t>类、</w:t>
      </w:r>
      <w:r>
        <w:rPr>
          <w:rFonts w:hint="eastAsia"/>
        </w:rPr>
        <w:t>C</w:t>
      </w:r>
      <w:r>
        <w:rPr>
          <w:rFonts w:hint="eastAsia"/>
        </w:rPr>
        <w:t>类和</w:t>
      </w:r>
      <w:r>
        <w:rPr>
          <w:rFonts w:hint="eastAsia"/>
        </w:rPr>
        <w:t>E</w:t>
      </w:r>
      <w:r>
        <w:rPr>
          <w:rFonts w:hint="eastAsia"/>
        </w:rPr>
        <w:t>类每个基金账户的申购、转换转入及定期定额投资金额分别累计金额超过</w:t>
      </w:r>
      <w:r>
        <w:rPr>
          <w:rFonts w:hint="eastAsia"/>
        </w:rPr>
        <w:t>5000</w:t>
      </w:r>
      <w:r>
        <w:rPr>
          <w:rFonts w:hint="eastAsia"/>
        </w:rPr>
        <w:t>万元、</w:t>
      </w:r>
      <w:r>
        <w:rPr>
          <w:rFonts w:hint="eastAsia"/>
        </w:rPr>
        <w:t>200</w:t>
      </w:r>
      <w:r>
        <w:rPr>
          <w:rFonts w:hint="eastAsia"/>
        </w:rPr>
        <w:t>万元和</w:t>
      </w:r>
      <w:r>
        <w:rPr>
          <w:rFonts w:hint="eastAsia"/>
        </w:rPr>
        <w:t>100</w:t>
      </w:r>
      <w:r>
        <w:rPr>
          <w:rFonts w:hint="eastAsia"/>
        </w:rPr>
        <w:t>万元，本基金管理人有权拒绝。在本基金暂停大额申购、转换转入、定期定额投资业务期间，其</w:t>
      </w:r>
      <w:r>
        <w:rPr>
          <w:rFonts w:hint="eastAsia"/>
        </w:rPr>
        <w:t>它业务正常办理。</w:t>
      </w:r>
    </w:p>
    <w:p w:rsidR="00BB46D6" w:rsidRDefault="00F358BF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日起，本基金</w:t>
      </w:r>
      <w:r>
        <w:rPr>
          <w:rFonts w:hint="eastAsia"/>
        </w:rPr>
        <w:t>A</w:t>
      </w:r>
      <w:r>
        <w:rPr>
          <w:rFonts w:hint="eastAsia"/>
        </w:rPr>
        <w:t>类、</w:t>
      </w:r>
      <w:r>
        <w:rPr>
          <w:rFonts w:hint="eastAsia"/>
        </w:rPr>
        <w:t>C</w:t>
      </w:r>
      <w:r>
        <w:rPr>
          <w:rFonts w:hint="eastAsia"/>
        </w:rPr>
        <w:t>类和</w:t>
      </w:r>
      <w:r>
        <w:rPr>
          <w:rFonts w:hint="eastAsia"/>
        </w:rPr>
        <w:t>E</w:t>
      </w:r>
      <w:r>
        <w:rPr>
          <w:rFonts w:hint="eastAsia"/>
        </w:rPr>
        <w:t>类基金份额单日单个基金账户分别累计申购、转换转入、定期定额投资金额限额为</w:t>
      </w:r>
      <w:r>
        <w:rPr>
          <w:rFonts w:hint="eastAsia"/>
        </w:rPr>
        <w:t>5000</w:t>
      </w:r>
      <w:r>
        <w:rPr>
          <w:rFonts w:hint="eastAsia"/>
        </w:rPr>
        <w:t>万元、</w:t>
      </w:r>
      <w:r>
        <w:rPr>
          <w:rFonts w:hint="eastAsia"/>
        </w:rPr>
        <w:t>100</w:t>
      </w:r>
      <w:r>
        <w:rPr>
          <w:rFonts w:hint="eastAsia"/>
        </w:rPr>
        <w:t>万元和</w:t>
      </w:r>
      <w:r>
        <w:rPr>
          <w:rFonts w:hint="eastAsia"/>
        </w:rPr>
        <w:t>100</w:t>
      </w:r>
      <w:r>
        <w:rPr>
          <w:rFonts w:hint="eastAsia"/>
        </w:rPr>
        <w:t>万元（本基金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三类基金份额申请金额不予以合计）；如单日</w:t>
      </w:r>
      <w:r>
        <w:rPr>
          <w:rFonts w:hint="eastAsia"/>
        </w:rPr>
        <w:t>A</w:t>
      </w:r>
      <w:r>
        <w:rPr>
          <w:rFonts w:hint="eastAsia"/>
        </w:rPr>
        <w:t>类、</w:t>
      </w:r>
      <w:r>
        <w:rPr>
          <w:rFonts w:hint="eastAsia"/>
        </w:rPr>
        <w:t>C</w:t>
      </w:r>
      <w:r>
        <w:rPr>
          <w:rFonts w:hint="eastAsia"/>
        </w:rPr>
        <w:t>类和</w:t>
      </w:r>
      <w:r>
        <w:rPr>
          <w:rFonts w:hint="eastAsia"/>
        </w:rPr>
        <w:t>E</w:t>
      </w:r>
      <w:r>
        <w:rPr>
          <w:rFonts w:hint="eastAsia"/>
        </w:rPr>
        <w:t>类每个基金账户的申购、转换转入及定期定额投资金额分别累计金额超过</w:t>
      </w:r>
      <w:r>
        <w:rPr>
          <w:rFonts w:hint="eastAsia"/>
        </w:rPr>
        <w:t>5000</w:t>
      </w:r>
      <w:r>
        <w:rPr>
          <w:rFonts w:hint="eastAsia"/>
        </w:rPr>
        <w:t>万元、</w:t>
      </w:r>
      <w:r>
        <w:rPr>
          <w:rFonts w:hint="eastAsia"/>
        </w:rPr>
        <w:t>100</w:t>
      </w:r>
      <w:r>
        <w:rPr>
          <w:rFonts w:hint="eastAsia"/>
        </w:rPr>
        <w:t>万元和</w:t>
      </w:r>
      <w:r>
        <w:rPr>
          <w:rFonts w:hint="eastAsia"/>
        </w:rPr>
        <w:t>100</w:t>
      </w:r>
      <w:r>
        <w:rPr>
          <w:rFonts w:hint="eastAsia"/>
        </w:rPr>
        <w:t>万元，本基金管理人有权拒绝。在本基金暂停大额申购、转换转入、定期定额投资业务期间，其它业务正常办理。</w:t>
      </w:r>
      <w:r>
        <w:rPr>
          <w:rFonts w:hint="eastAsia"/>
        </w:rPr>
        <w:t xml:space="preserve">  </w:t>
      </w:r>
    </w:p>
    <w:p w:rsidR="00BB46D6" w:rsidRDefault="00F358BF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）在本基金暂停大额申购、转换转入、定期定额投资业务期间，</w:t>
      </w:r>
      <w:r>
        <w:rPr>
          <w:rFonts w:hint="eastAsia"/>
        </w:rPr>
        <w:t>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BB46D6" w:rsidRDefault="00F358BF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BB46D6" w:rsidRDefault="00F358BF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  <w:bookmarkStart w:id="0" w:name="_GoBack"/>
      <w:bookmarkEnd w:id="0"/>
    </w:p>
    <w:p w:rsidR="00BB46D6" w:rsidRDefault="00BB46D6">
      <w:pPr>
        <w:pStyle w:val="a3"/>
        <w:spacing w:before="0" w:beforeAutospacing="0" w:after="0" w:afterAutospacing="0" w:line="360" w:lineRule="auto"/>
        <w:ind w:firstLine="420"/>
      </w:pPr>
    </w:p>
    <w:p w:rsidR="00BB46D6" w:rsidRDefault="00BB46D6">
      <w:pPr>
        <w:pStyle w:val="a3"/>
        <w:spacing w:before="0" w:beforeAutospacing="0" w:after="0" w:afterAutospacing="0" w:line="360" w:lineRule="auto"/>
        <w:ind w:firstLine="420"/>
      </w:pPr>
    </w:p>
    <w:p w:rsidR="00BB46D6" w:rsidRDefault="00BB46D6">
      <w:pPr>
        <w:pStyle w:val="a3"/>
        <w:spacing w:before="0" w:beforeAutospacing="0" w:after="0" w:afterAutospacing="0" w:line="360" w:lineRule="auto"/>
        <w:ind w:firstLine="420"/>
      </w:pPr>
    </w:p>
    <w:p w:rsidR="00BB46D6" w:rsidRDefault="00F358BF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BB46D6" w:rsidRDefault="00F358BF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2023</w:t>
      </w:r>
      <w:r>
        <w:t>年</w:t>
      </w:r>
      <w:r>
        <w:t>10</w:t>
      </w:r>
      <w:r>
        <w:t>月</w:t>
      </w:r>
      <w:r>
        <w:t>20</w:t>
      </w:r>
      <w:r>
        <w:t>日</w:t>
      </w:r>
    </w:p>
    <w:p w:rsidR="00BB46D6" w:rsidRDefault="00BB46D6">
      <w:pPr>
        <w:pStyle w:val="a3"/>
        <w:spacing w:before="0" w:beforeAutospacing="0" w:after="0" w:afterAutospacing="0" w:line="360" w:lineRule="auto"/>
        <w:ind w:firstLine="420"/>
        <w:jc w:val="right"/>
      </w:pPr>
    </w:p>
    <w:sectPr w:rsidR="00BB46D6" w:rsidSect="00BB4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4187"/>
    <w:rsid w:val="00BA072C"/>
    <w:rsid w:val="00BB46D6"/>
    <w:rsid w:val="00F358BF"/>
    <w:rsid w:val="00F84187"/>
    <w:rsid w:val="1DE21116"/>
    <w:rsid w:val="43627127"/>
    <w:rsid w:val="72EE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D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B46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B46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BB4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B46D6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4</DocSecurity>
  <Lines>8</Lines>
  <Paragraphs>2</Paragraphs>
  <ScaleCrop>false</ScaleCrop>
  <Company>mycompany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2023-10-19T16:02:00Z</dcterms:created>
  <dcterms:modified xsi:type="dcterms:W3CDTF">2023-10-19T16:02:00Z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1EF17451FAF24EDD87BF37CB23E2E2A4</vt:lpwstr>
  </property>
</Properties>
</file>