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C4" w:rsidRDefault="000742C4">
      <w:pPr>
        <w:pStyle w:val="a3"/>
        <w:rPr>
          <w:rFonts w:ascii="Times New Roman"/>
          <w:sz w:val="20"/>
        </w:rPr>
      </w:pPr>
    </w:p>
    <w:p w:rsidR="000742C4" w:rsidRDefault="000742C4">
      <w:pPr>
        <w:pStyle w:val="a3"/>
        <w:rPr>
          <w:rFonts w:ascii="Times New Roman"/>
          <w:sz w:val="20"/>
        </w:rPr>
      </w:pPr>
    </w:p>
    <w:p w:rsidR="000742C4" w:rsidRDefault="00787E08">
      <w:pPr>
        <w:spacing w:before="177" w:line="242" w:lineRule="auto"/>
        <w:ind w:left="335" w:right="363"/>
        <w:jc w:val="center"/>
        <w:rPr>
          <w:b/>
          <w:sz w:val="48"/>
        </w:rPr>
      </w:pPr>
      <w:r>
        <w:rPr>
          <w:b/>
          <w:w w:val="95"/>
          <w:sz w:val="48"/>
        </w:rPr>
        <w:t>华泰证券（上海）资产管理有限公司关于旗下部分基金非港股通交易日暂停申</w:t>
      </w:r>
      <w:r>
        <w:rPr>
          <w:b/>
          <w:sz w:val="48"/>
        </w:rPr>
        <w:t>购、赎回等业务的公告</w:t>
      </w:r>
    </w:p>
    <w:p w:rsidR="000742C4" w:rsidRDefault="000742C4">
      <w:pPr>
        <w:pStyle w:val="a3"/>
        <w:spacing w:before="2"/>
        <w:rPr>
          <w:b/>
          <w:sz w:val="35"/>
        </w:rPr>
      </w:pPr>
    </w:p>
    <w:p w:rsidR="000742C4" w:rsidRDefault="00787E08">
      <w:pPr>
        <w:ind w:left="335" w:right="353"/>
        <w:jc w:val="center"/>
        <w:rPr>
          <w:b/>
          <w:sz w:val="28"/>
        </w:rPr>
      </w:pPr>
      <w:r>
        <w:rPr>
          <w:b/>
          <w:sz w:val="28"/>
        </w:rPr>
        <w:t>公告送出日期:</w:t>
      </w:r>
      <w:r w:rsidR="00AD5B8B">
        <w:rPr>
          <w:b/>
          <w:sz w:val="28"/>
        </w:rPr>
        <w:t xml:space="preserve"> </w:t>
      </w:r>
      <w:r>
        <w:rPr>
          <w:b/>
          <w:sz w:val="28"/>
        </w:rPr>
        <w:t>202</w:t>
      </w:r>
      <w:r w:rsidR="00AD5B8B">
        <w:rPr>
          <w:b/>
          <w:sz w:val="28"/>
        </w:rPr>
        <w:t>3</w:t>
      </w:r>
      <w:r>
        <w:rPr>
          <w:b/>
          <w:sz w:val="28"/>
        </w:rPr>
        <w:t>年</w:t>
      </w:r>
      <w:r w:rsidR="00D41959">
        <w:rPr>
          <w:b/>
          <w:sz w:val="28"/>
        </w:rPr>
        <w:t>10</w:t>
      </w:r>
      <w:r>
        <w:rPr>
          <w:b/>
          <w:sz w:val="28"/>
        </w:rPr>
        <w:t>月</w:t>
      </w:r>
      <w:r w:rsidR="00D41959">
        <w:rPr>
          <w:b/>
          <w:sz w:val="28"/>
        </w:rPr>
        <w:t>19</w:t>
      </w:r>
      <w:r>
        <w:rPr>
          <w:b/>
          <w:sz w:val="28"/>
        </w:rPr>
        <w:t>日</w:t>
      </w:r>
    </w:p>
    <w:p w:rsidR="000742C4" w:rsidRDefault="000742C4">
      <w:pPr>
        <w:pStyle w:val="a3"/>
        <w:spacing w:before="3"/>
        <w:rPr>
          <w:b/>
          <w:sz w:val="37"/>
        </w:rPr>
      </w:pPr>
    </w:p>
    <w:p w:rsidR="000742C4" w:rsidRDefault="00AD5B8B" w:rsidP="000C30FE">
      <w:pPr>
        <w:pStyle w:val="a3"/>
        <w:spacing w:before="161" w:line="360" w:lineRule="auto"/>
        <w:ind w:left="278" w:right="181" w:firstLineChars="200" w:firstLine="460"/>
      </w:pPr>
      <w:r w:rsidRPr="00AD5B8B">
        <w:rPr>
          <w:rFonts w:hint="eastAsia"/>
          <w:spacing w:val="-10"/>
        </w:rPr>
        <w:t>根据上海证券交易所《关于</w:t>
      </w:r>
      <w:r w:rsidRPr="00AD5B8B">
        <w:rPr>
          <w:spacing w:val="-10"/>
        </w:rPr>
        <w:t>2022年岁末及2023年沪港通下港股通交易日安排的通知》和深圳证券交易所《</w:t>
      </w:r>
      <w:r w:rsidRPr="00AD5B8B">
        <w:rPr>
          <w:rFonts w:hint="eastAsia"/>
          <w:spacing w:val="-10"/>
        </w:rPr>
        <w:t>关于</w:t>
      </w:r>
      <w:r w:rsidRPr="00AD5B8B">
        <w:rPr>
          <w:spacing w:val="-10"/>
        </w:rPr>
        <w:t>2022年底及2023年深港通下的港股通交易日安排的通知》，为了保障基金平稳运作，保护持有人利益, 华泰证券（上海）资产管理有限公司（以下简称“本公司”）决定对处于上海证券交易所和深圳证券交易所交易日的下列</w:t>
      </w:r>
      <w:r>
        <w:rPr>
          <w:spacing w:val="-10"/>
        </w:rPr>
        <w:t>2023</w:t>
      </w:r>
      <w:r w:rsidRPr="00AD5B8B">
        <w:rPr>
          <w:spacing w:val="-10"/>
        </w:rPr>
        <w:t>年非港股通交易日，暂停以下基金的申购、赎回、定期定额申购、基金转换等交易类业务，并自下列非港股通交易日结束后的首个开放日恢复基金在非港股通交易日暂停的日常申购、赎回、定期定额申购、基金转换等业务</w:t>
      </w:r>
      <w:r w:rsidRPr="00AD5B8B">
        <w:rPr>
          <w:rFonts w:hint="eastAsia"/>
          <w:spacing w:val="-10"/>
        </w:rPr>
        <w:t>，届时不再另行公告。</w:t>
      </w:r>
    </w:p>
    <w:p w:rsidR="000742C4" w:rsidRDefault="00787E08">
      <w:pPr>
        <w:pStyle w:val="a3"/>
        <w:spacing w:before="6"/>
        <w:ind w:left="760"/>
      </w:pPr>
      <w:r>
        <w:t>适用基金如下：</w:t>
      </w:r>
    </w:p>
    <w:p w:rsidR="000742C4" w:rsidRDefault="000742C4">
      <w:pPr>
        <w:pStyle w:val="a3"/>
        <w:spacing w:before="4"/>
        <w:rPr>
          <w:sz w:val="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1013"/>
        <w:gridCol w:w="7069"/>
      </w:tblGrid>
      <w:tr w:rsidR="000742C4" w:rsidTr="00CA7D46">
        <w:trPr>
          <w:trHeight w:val="468"/>
        </w:trPr>
        <w:tc>
          <w:tcPr>
            <w:tcW w:w="571" w:type="dxa"/>
          </w:tcPr>
          <w:p w:rsidR="000742C4" w:rsidRDefault="00787E08">
            <w:pPr>
              <w:pStyle w:val="TableParagraph"/>
              <w:ind w:left="24" w:right="15"/>
              <w:rPr>
                <w:b/>
                <w:sz w:val="24"/>
              </w:rPr>
            </w:pPr>
            <w:r>
              <w:rPr>
                <w:b/>
                <w:sz w:val="24"/>
              </w:rPr>
              <w:t>序号</w:t>
            </w:r>
          </w:p>
        </w:tc>
        <w:tc>
          <w:tcPr>
            <w:tcW w:w="1013" w:type="dxa"/>
          </w:tcPr>
          <w:p w:rsidR="000742C4" w:rsidRDefault="00787E08">
            <w:pPr>
              <w:pStyle w:val="TableParagraph"/>
              <w:rPr>
                <w:b/>
                <w:sz w:val="24"/>
              </w:rPr>
            </w:pPr>
            <w:r>
              <w:rPr>
                <w:b/>
                <w:sz w:val="24"/>
              </w:rPr>
              <w:t>基金代码</w:t>
            </w:r>
          </w:p>
        </w:tc>
        <w:tc>
          <w:tcPr>
            <w:tcW w:w="7069" w:type="dxa"/>
          </w:tcPr>
          <w:p w:rsidR="000742C4" w:rsidRDefault="002F3710">
            <w:pPr>
              <w:pStyle w:val="TableParagraph"/>
              <w:ind w:left="3041" w:right="3033"/>
              <w:rPr>
                <w:b/>
                <w:sz w:val="24"/>
              </w:rPr>
            </w:pPr>
            <w:r>
              <w:rPr>
                <w:b/>
                <w:sz w:val="24"/>
              </w:rPr>
              <w:t>基金</w:t>
            </w:r>
            <w:r>
              <w:rPr>
                <w:rFonts w:hint="eastAsia"/>
                <w:b/>
                <w:sz w:val="24"/>
              </w:rPr>
              <w:t>简称</w:t>
            </w:r>
          </w:p>
        </w:tc>
      </w:tr>
      <w:tr w:rsidR="00B42C66" w:rsidTr="00CA7D46">
        <w:trPr>
          <w:trHeight w:val="467"/>
        </w:trPr>
        <w:tc>
          <w:tcPr>
            <w:tcW w:w="571" w:type="dxa"/>
          </w:tcPr>
          <w:p w:rsidR="00B42C66" w:rsidRDefault="00B42C66" w:rsidP="00B42C66">
            <w:pPr>
              <w:pStyle w:val="TableParagraph"/>
              <w:rPr>
                <w:sz w:val="24"/>
              </w:rPr>
            </w:pPr>
            <w:r>
              <w:rPr>
                <w:sz w:val="24"/>
              </w:rPr>
              <w:t>1</w:t>
            </w:r>
          </w:p>
        </w:tc>
        <w:tc>
          <w:tcPr>
            <w:tcW w:w="1013" w:type="dxa"/>
          </w:tcPr>
          <w:p w:rsidR="00B42C66" w:rsidRPr="009B68CB" w:rsidRDefault="00B42C66" w:rsidP="00B42C66">
            <w:pPr>
              <w:pStyle w:val="TableParagraph"/>
              <w:ind w:left="10"/>
              <w:rPr>
                <w:sz w:val="24"/>
              </w:rPr>
            </w:pPr>
            <w:r w:rsidRPr="009B68CB">
              <w:rPr>
                <w:sz w:val="24"/>
              </w:rPr>
              <w:t>011494</w:t>
            </w:r>
          </w:p>
        </w:tc>
        <w:tc>
          <w:tcPr>
            <w:tcW w:w="7069" w:type="dxa"/>
          </w:tcPr>
          <w:p w:rsidR="00B42C66" w:rsidRPr="009B68CB" w:rsidRDefault="00B42C66" w:rsidP="00B42C66">
            <w:pPr>
              <w:pStyle w:val="TableParagraph"/>
              <w:ind w:left="0"/>
              <w:jc w:val="left"/>
              <w:rPr>
                <w:sz w:val="24"/>
                <w:lang w:val="en-US"/>
              </w:rPr>
            </w:pPr>
            <w:r w:rsidRPr="009B68CB">
              <w:rPr>
                <w:rFonts w:hint="eastAsia"/>
                <w:sz w:val="24"/>
                <w:lang w:val="en-US"/>
              </w:rPr>
              <w:t>华泰紫金丰和偏债混合型发起式证券投资基金</w:t>
            </w:r>
            <w:r w:rsidRPr="009B68CB">
              <w:rPr>
                <w:sz w:val="24"/>
                <w:lang w:val="en-US"/>
              </w:rPr>
              <w:t>A</w:t>
            </w:r>
          </w:p>
        </w:tc>
      </w:tr>
      <w:tr w:rsidR="00B42C66" w:rsidTr="00CA7D46">
        <w:trPr>
          <w:trHeight w:val="467"/>
        </w:trPr>
        <w:tc>
          <w:tcPr>
            <w:tcW w:w="571" w:type="dxa"/>
          </w:tcPr>
          <w:p w:rsidR="00B42C66" w:rsidRDefault="00B42C66" w:rsidP="00B42C66">
            <w:pPr>
              <w:pStyle w:val="TableParagraph"/>
              <w:rPr>
                <w:sz w:val="24"/>
              </w:rPr>
            </w:pPr>
            <w:r>
              <w:rPr>
                <w:sz w:val="24"/>
              </w:rPr>
              <w:t>2</w:t>
            </w:r>
          </w:p>
        </w:tc>
        <w:tc>
          <w:tcPr>
            <w:tcW w:w="1013" w:type="dxa"/>
          </w:tcPr>
          <w:p w:rsidR="00B42C66" w:rsidRPr="009B68CB" w:rsidRDefault="00B42C66" w:rsidP="00B42C66">
            <w:pPr>
              <w:pStyle w:val="TableParagraph"/>
              <w:ind w:left="10"/>
              <w:rPr>
                <w:sz w:val="24"/>
              </w:rPr>
            </w:pPr>
            <w:r w:rsidRPr="009B68CB">
              <w:rPr>
                <w:sz w:val="24"/>
              </w:rPr>
              <w:t>011495</w:t>
            </w:r>
          </w:p>
        </w:tc>
        <w:tc>
          <w:tcPr>
            <w:tcW w:w="7069" w:type="dxa"/>
          </w:tcPr>
          <w:p w:rsidR="00B42C66" w:rsidRPr="009B68CB" w:rsidRDefault="00B42C66" w:rsidP="00B42C66">
            <w:pPr>
              <w:pStyle w:val="TableParagraph"/>
              <w:ind w:left="0"/>
              <w:jc w:val="left"/>
              <w:rPr>
                <w:sz w:val="24"/>
                <w:lang w:val="en-US"/>
              </w:rPr>
            </w:pPr>
            <w:r w:rsidRPr="009B68CB">
              <w:rPr>
                <w:rFonts w:hint="eastAsia"/>
                <w:sz w:val="24"/>
                <w:lang w:val="en-US"/>
              </w:rPr>
              <w:t>华泰紫金丰和偏债混合型发起式证券投资基金C</w:t>
            </w:r>
          </w:p>
        </w:tc>
      </w:tr>
      <w:tr w:rsidR="00B42C66" w:rsidTr="00CA7D46">
        <w:trPr>
          <w:trHeight w:val="467"/>
        </w:trPr>
        <w:tc>
          <w:tcPr>
            <w:tcW w:w="571" w:type="dxa"/>
          </w:tcPr>
          <w:p w:rsidR="00B42C66" w:rsidRDefault="00B42C66" w:rsidP="00B42C66">
            <w:pPr>
              <w:pStyle w:val="TableParagraph"/>
              <w:rPr>
                <w:sz w:val="24"/>
              </w:rPr>
            </w:pPr>
            <w:r>
              <w:rPr>
                <w:sz w:val="24"/>
              </w:rPr>
              <w:t>3</w:t>
            </w:r>
          </w:p>
        </w:tc>
        <w:tc>
          <w:tcPr>
            <w:tcW w:w="1013" w:type="dxa"/>
          </w:tcPr>
          <w:p w:rsidR="00B42C66" w:rsidRPr="009B68CB" w:rsidRDefault="00B42C66" w:rsidP="00B42C66">
            <w:pPr>
              <w:pStyle w:val="TableParagraph"/>
              <w:ind w:left="10"/>
              <w:rPr>
                <w:sz w:val="24"/>
              </w:rPr>
            </w:pPr>
            <w:r w:rsidRPr="009B68CB">
              <w:rPr>
                <w:sz w:val="24"/>
              </w:rPr>
              <w:t>017424</w:t>
            </w:r>
          </w:p>
        </w:tc>
        <w:tc>
          <w:tcPr>
            <w:tcW w:w="7069" w:type="dxa"/>
          </w:tcPr>
          <w:p w:rsidR="00B42C66" w:rsidRPr="009B68CB" w:rsidRDefault="00B42C66" w:rsidP="00B42C66">
            <w:pPr>
              <w:pStyle w:val="TableParagraph"/>
              <w:ind w:left="0"/>
              <w:jc w:val="left"/>
              <w:rPr>
                <w:sz w:val="24"/>
                <w:lang w:val="en-US"/>
              </w:rPr>
            </w:pPr>
            <w:r w:rsidRPr="009B68CB">
              <w:rPr>
                <w:sz w:val="24"/>
                <w:lang w:val="en-US"/>
              </w:rPr>
              <w:t>华泰紫金先进制造混合型发起式证券投资基金A</w:t>
            </w:r>
          </w:p>
        </w:tc>
      </w:tr>
      <w:tr w:rsidR="00B42C66" w:rsidTr="00CA7D46">
        <w:trPr>
          <w:trHeight w:val="467"/>
        </w:trPr>
        <w:tc>
          <w:tcPr>
            <w:tcW w:w="571" w:type="dxa"/>
          </w:tcPr>
          <w:p w:rsidR="00B42C66" w:rsidRDefault="00B42C66" w:rsidP="00B42C66">
            <w:pPr>
              <w:pStyle w:val="TableParagraph"/>
              <w:rPr>
                <w:sz w:val="24"/>
              </w:rPr>
            </w:pPr>
            <w:r>
              <w:rPr>
                <w:sz w:val="24"/>
              </w:rPr>
              <w:t>4</w:t>
            </w:r>
          </w:p>
        </w:tc>
        <w:tc>
          <w:tcPr>
            <w:tcW w:w="1013" w:type="dxa"/>
          </w:tcPr>
          <w:p w:rsidR="00B42C66" w:rsidRPr="009B68CB" w:rsidRDefault="00B42C66" w:rsidP="00B42C66">
            <w:pPr>
              <w:pStyle w:val="TableParagraph"/>
              <w:ind w:left="10"/>
              <w:rPr>
                <w:sz w:val="24"/>
              </w:rPr>
            </w:pPr>
            <w:r w:rsidRPr="009B68CB">
              <w:rPr>
                <w:sz w:val="24"/>
              </w:rPr>
              <w:t>017425</w:t>
            </w:r>
          </w:p>
        </w:tc>
        <w:tc>
          <w:tcPr>
            <w:tcW w:w="7069" w:type="dxa"/>
          </w:tcPr>
          <w:p w:rsidR="00B42C66" w:rsidRPr="009B68CB" w:rsidRDefault="00B42C66" w:rsidP="00B42C66">
            <w:pPr>
              <w:pStyle w:val="TableParagraph"/>
              <w:ind w:left="0"/>
              <w:jc w:val="left"/>
              <w:rPr>
                <w:sz w:val="24"/>
                <w:lang w:val="en-US"/>
              </w:rPr>
            </w:pPr>
            <w:r w:rsidRPr="009B68CB">
              <w:rPr>
                <w:sz w:val="24"/>
                <w:lang w:val="en-US"/>
              </w:rPr>
              <w:t>华泰紫金先进制造混合型发起式证券投资基金C</w:t>
            </w:r>
          </w:p>
        </w:tc>
      </w:tr>
      <w:tr w:rsidR="00B42C66" w:rsidTr="00CA7D46">
        <w:trPr>
          <w:trHeight w:val="467"/>
        </w:trPr>
        <w:tc>
          <w:tcPr>
            <w:tcW w:w="571" w:type="dxa"/>
          </w:tcPr>
          <w:p w:rsidR="00B42C66" w:rsidRDefault="00B42C66" w:rsidP="00B42C66">
            <w:pPr>
              <w:pStyle w:val="TableParagraph"/>
              <w:rPr>
                <w:sz w:val="24"/>
              </w:rPr>
            </w:pPr>
            <w:r>
              <w:rPr>
                <w:sz w:val="24"/>
              </w:rPr>
              <w:t>5</w:t>
            </w:r>
          </w:p>
        </w:tc>
        <w:tc>
          <w:tcPr>
            <w:tcW w:w="1013" w:type="dxa"/>
          </w:tcPr>
          <w:p w:rsidR="00B42C66" w:rsidRPr="009B68CB" w:rsidRDefault="00B42C66" w:rsidP="00B42C66">
            <w:pPr>
              <w:pStyle w:val="TableParagraph"/>
              <w:ind w:left="10"/>
              <w:rPr>
                <w:sz w:val="24"/>
              </w:rPr>
            </w:pPr>
            <w:r w:rsidRPr="009F2328">
              <w:rPr>
                <w:sz w:val="24"/>
              </w:rPr>
              <w:t>018523</w:t>
            </w:r>
          </w:p>
        </w:tc>
        <w:tc>
          <w:tcPr>
            <w:tcW w:w="7069" w:type="dxa"/>
          </w:tcPr>
          <w:p w:rsidR="00B42C66" w:rsidRPr="009B68CB" w:rsidRDefault="00B42C66" w:rsidP="00B42C66">
            <w:pPr>
              <w:pStyle w:val="TableParagraph"/>
              <w:jc w:val="left"/>
              <w:rPr>
                <w:sz w:val="24"/>
                <w:lang w:val="en-US"/>
              </w:rPr>
            </w:pPr>
            <w:r w:rsidRPr="00D434BC">
              <w:rPr>
                <w:rFonts w:hint="eastAsia"/>
                <w:sz w:val="24"/>
                <w:lang w:val="en-US"/>
              </w:rPr>
              <w:t>华泰紫金恒生互联网科技业指数型发起基金</w:t>
            </w:r>
            <w:r w:rsidRPr="00D434BC">
              <w:rPr>
                <w:sz w:val="24"/>
                <w:lang w:val="en-US"/>
              </w:rPr>
              <w:t>(QDII)A</w:t>
            </w:r>
          </w:p>
        </w:tc>
      </w:tr>
      <w:tr w:rsidR="00B42C66" w:rsidTr="00CA7D46">
        <w:trPr>
          <w:trHeight w:val="467"/>
        </w:trPr>
        <w:tc>
          <w:tcPr>
            <w:tcW w:w="571" w:type="dxa"/>
          </w:tcPr>
          <w:p w:rsidR="00B42C66" w:rsidRDefault="00B42C66" w:rsidP="00B42C66">
            <w:pPr>
              <w:pStyle w:val="TableParagraph"/>
              <w:rPr>
                <w:sz w:val="24"/>
              </w:rPr>
            </w:pPr>
            <w:r>
              <w:rPr>
                <w:sz w:val="24"/>
              </w:rPr>
              <w:t>6</w:t>
            </w:r>
          </w:p>
        </w:tc>
        <w:tc>
          <w:tcPr>
            <w:tcW w:w="1013" w:type="dxa"/>
          </w:tcPr>
          <w:p w:rsidR="00B42C66" w:rsidRPr="009B68CB" w:rsidRDefault="00B42C66" w:rsidP="00B42C66">
            <w:pPr>
              <w:pStyle w:val="TableParagraph"/>
              <w:ind w:left="10"/>
              <w:rPr>
                <w:sz w:val="24"/>
              </w:rPr>
            </w:pPr>
            <w:r w:rsidRPr="009F2328">
              <w:rPr>
                <w:sz w:val="24"/>
              </w:rPr>
              <w:t>018524</w:t>
            </w:r>
          </w:p>
        </w:tc>
        <w:tc>
          <w:tcPr>
            <w:tcW w:w="7069" w:type="dxa"/>
          </w:tcPr>
          <w:p w:rsidR="00B42C66" w:rsidRPr="009B68CB" w:rsidRDefault="00B42C66" w:rsidP="00B42C66">
            <w:pPr>
              <w:pStyle w:val="TableParagraph"/>
              <w:ind w:left="0"/>
              <w:jc w:val="left"/>
              <w:rPr>
                <w:sz w:val="24"/>
                <w:lang w:val="en-US"/>
              </w:rPr>
            </w:pPr>
            <w:r w:rsidRPr="00D434BC">
              <w:rPr>
                <w:rFonts w:hint="eastAsia"/>
                <w:sz w:val="24"/>
                <w:lang w:val="en-US"/>
              </w:rPr>
              <w:t>华泰紫金恒生互联网科技业指数型发起基金</w:t>
            </w:r>
            <w:r>
              <w:rPr>
                <w:sz w:val="24"/>
                <w:lang w:val="en-US"/>
              </w:rPr>
              <w:t>(QDII)C</w:t>
            </w:r>
          </w:p>
        </w:tc>
      </w:tr>
      <w:tr w:rsidR="00B42C66" w:rsidTr="00CA7D46">
        <w:trPr>
          <w:trHeight w:val="467"/>
        </w:trPr>
        <w:tc>
          <w:tcPr>
            <w:tcW w:w="571" w:type="dxa"/>
          </w:tcPr>
          <w:p w:rsidR="00B42C66" w:rsidRDefault="00B42C66" w:rsidP="00B42C66">
            <w:pPr>
              <w:pStyle w:val="TableParagraph"/>
              <w:rPr>
                <w:sz w:val="24"/>
              </w:rPr>
            </w:pPr>
            <w:r>
              <w:rPr>
                <w:sz w:val="24"/>
              </w:rPr>
              <w:t>7</w:t>
            </w:r>
          </w:p>
        </w:tc>
        <w:tc>
          <w:tcPr>
            <w:tcW w:w="1013" w:type="dxa"/>
          </w:tcPr>
          <w:p w:rsidR="00B42C66" w:rsidRPr="009F2328" w:rsidRDefault="00B42C66" w:rsidP="00B42C66">
            <w:pPr>
              <w:pStyle w:val="TableParagraph"/>
              <w:ind w:left="10"/>
              <w:rPr>
                <w:sz w:val="24"/>
              </w:rPr>
            </w:pPr>
            <w:r w:rsidRPr="00F3794C">
              <w:rPr>
                <w:sz w:val="24"/>
              </w:rPr>
              <w:t>017689</w:t>
            </w:r>
          </w:p>
        </w:tc>
        <w:tc>
          <w:tcPr>
            <w:tcW w:w="7069" w:type="dxa"/>
          </w:tcPr>
          <w:p w:rsidR="00B42C66" w:rsidRPr="00D434BC" w:rsidRDefault="00B42C66" w:rsidP="00B42C66">
            <w:pPr>
              <w:pStyle w:val="TableParagraph"/>
              <w:jc w:val="left"/>
              <w:rPr>
                <w:sz w:val="24"/>
                <w:lang w:val="en-US"/>
              </w:rPr>
            </w:pPr>
            <w:r w:rsidRPr="002E66D7">
              <w:rPr>
                <w:rFonts w:hint="eastAsia"/>
                <w:sz w:val="24"/>
                <w:lang w:val="en-US"/>
              </w:rPr>
              <w:t>华泰紫金恒荣</w:t>
            </w:r>
            <w:r w:rsidRPr="002E66D7">
              <w:rPr>
                <w:sz w:val="24"/>
                <w:lang w:val="en-US"/>
              </w:rPr>
              <w:t>12个月持有期混合型发起式证券投资基金A</w:t>
            </w:r>
          </w:p>
        </w:tc>
      </w:tr>
      <w:tr w:rsidR="00B42C66" w:rsidTr="00CA7D46">
        <w:trPr>
          <w:trHeight w:val="467"/>
        </w:trPr>
        <w:tc>
          <w:tcPr>
            <w:tcW w:w="571" w:type="dxa"/>
          </w:tcPr>
          <w:p w:rsidR="00B42C66" w:rsidRDefault="00B42C66" w:rsidP="00B42C66">
            <w:pPr>
              <w:pStyle w:val="TableParagraph"/>
              <w:rPr>
                <w:sz w:val="24"/>
              </w:rPr>
            </w:pPr>
            <w:r>
              <w:rPr>
                <w:sz w:val="24"/>
              </w:rPr>
              <w:t>8</w:t>
            </w:r>
          </w:p>
        </w:tc>
        <w:tc>
          <w:tcPr>
            <w:tcW w:w="1013" w:type="dxa"/>
          </w:tcPr>
          <w:p w:rsidR="00B42C66" w:rsidRPr="009F2328" w:rsidRDefault="00B42C66" w:rsidP="00B42C66">
            <w:pPr>
              <w:pStyle w:val="TableParagraph"/>
              <w:ind w:left="10"/>
              <w:rPr>
                <w:sz w:val="24"/>
              </w:rPr>
            </w:pPr>
            <w:r w:rsidRPr="00F3794C">
              <w:rPr>
                <w:sz w:val="24"/>
              </w:rPr>
              <w:t>017692</w:t>
            </w:r>
          </w:p>
        </w:tc>
        <w:tc>
          <w:tcPr>
            <w:tcW w:w="7069" w:type="dxa"/>
          </w:tcPr>
          <w:p w:rsidR="00B42C66" w:rsidRPr="00D434BC" w:rsidRDefault="00B42C66" w:rsidP="00B42C66">
            <w:pPr>
              <w:pStyle w:val="TableParagraph"/>
              <w:jc w:val="left"/>
              <w:rPr>
                <w:sz w:val="24"/>
                <w:lang w:val="en-US"/>
              </w:rPr>
            </w:pPr>
            <w:r w:rsidRPr="002E66D7">
              <w:rPr>
                <w:rFonts w:hint="eastAsia"/>
                <w:sz w:val="24"/>
                <w:lang w:val="en-US"/>
              </w:rPr>
              <w:t>华泰紫金恒荣</w:t>
            </w:r>
            <w:r w:rsidRPr="002E66D7">
              <w:rPr>
                <w:sz w:val="24"/>
                <w:lang w:val="en-US"/>
              </w:rPr>
              <w:t>12个月持有期混合型发起式证券投资基金</w:t>
            </w:r>
            <w:r w:rsidRPr="00C65040">
              <w:rPr>
                <w:sz w:val="24"/>
                <w:lang w:val="en-US"/>
              </w:rPr>
              <w:t>C</w:t>
            </w:r>
          </w:p>
        </w:tc>
      </w:tr>
      <w:tr w:rsidR="00DC20B1" w:rsidTr="00CA7D46">
        <w:trPr>
          <w:trHeight w:val="467"/>
        </w:trPr>
        <w:tc>
          <w:tcPr>
            <w:tcW w:w="571" w:type="dxa"/>
          </w:tcPr>
          <w:p w:rsidR="00DC20B1" w:rsidRDefault="00DC20B1" w:rsidP="00B42C66">
            <w:pPr>
              <w:pStyle w:val="TableParagraph"/>
              <w:rPr>
                <w:sz w:val="24"/>
              </w:rPr>
            </w:pPr>
            <w:r>
              <w:rPr>
                <w:rFonts w:hint="eastAsia"/>
                <w:sz w:val="24"/>
              </w:rPr>
              <w:t>9</w:t>
            </w:r>
          </w:p>
        </w:tc>
        <w:tc>
          <w:tcPr>
            <w:tcW w:w="1013" w:type="dxa"/>
          </w:tcPr>
          <w:p w:rsidR="00DC20B1" w:rsidRPr="00F3794C" w:rsidRDefault="00DC20B1" w:rsidP="00B42C66">
            <w:pPr>
              <w:pStyle w:val="TableParagraph"/>
              <w:ind w:left="10"/>
              <w:rPr>
                <w:sz w:val="24"/>
              </w:rPr>
            </w:pPr>
            <w:r w:rsidRPr="00DC20B1">
              <w:rPr>
                <w:sz w:val="24"/>
              </w:rPr>
              <w:t>018582</w:t>
            </w:r>
          </w:p>
        </w:tc>
        <w:tc>
          <w:tcPr>
            <w:tcW w:w="7069" w:type="dxa"/>
          </w:tcPr>
          <w:p w:rsidR="00DC20B1" w:rsidRPr="002E66D7" w:rsidRDefault="00DC20B1" w:rsidP="00B42C66">
            <w:pPr>
              <w:pStyle w:val="TableParagraph"/>
              <w:jc w:val="left"/>
              <w:rPr>
                <w:sz w:val="24"/>
                <w:lang w:val="en-US"/>
              </w:rPr>
            </w:pPr>
            <w:r w:rsidRPr="00DC20B1">
              <w:rPr>
                <w:rFonts w:hint="eastAsia"/>
                <w:sz w:val="24"/>
                <w:lang w:val="en-US"/>
              </w:rPr>
              <w:t>华泰紫金碳中和混合型发起式证券投资基金</w:t>
            </w:r>
            <w:r w:rsidRPr="00DC20B1">
              <w:rPr>
                <w:sz w:val="24"/>
                <w:lang w:val="en-US"/>
              </w:rPr>
              <w:t>A</w:t>
            </w:r>
          </w:p>
        </w:tc>
      </w:tr>
      <w:tr w:rsidR="00DC20B1" w:rsidTr="00CA7D46">
        <w:trPr>
          <w:trHeight w:val="467"/>
        </w:trPr>
        <w:tc>
          <w:tcPr>
            <w:tcW w:w="571" w:type="dxa"/>
          </w:tcPr>
          <w:p w:rsidR="00DC20B1" w:rsidRDefault="00DC20B1" w:rsidP="00B42C66">
            <w:pPr>
              <w:pStyle w:val="TableParagraph"/>
              <w:rPr>
                <w:sz w:val="24"/>
              </w:rPr>
            </w:pPr>
            <w:r>
              <w:rPr>
                <w:rFonts w:hint="eastAsia"/>
                <w:sz w:val="24"/>
              </w:rPr>
              <w:t>1</w:t>
            </w:r>
            <w:r>
              <w:rPr>
                <w:sz w:val="24"/>
              </w:rPr>
              <w:t>0</w:t>
            </w:r>
          </w:p>
        </w:tc>
        <w:tc>
          <w:tcPr>
            <w:tcW w:w="1013" w:type="dxa"/>
          </w:tcPr>
          <w:p w:rsidR="00DC20B1" w:rsidRPr="00F3794C" w:rsidRDefault="00DC20B1" w:rsidP="00B42C66">
            <w:pPr>
              <w:pStyle w:val="TableParagraph"/>
              <w:ind w:left="10"/>
              <w:rPr>
                <w:sz w:val="24"/>
              </w:rPr>
            </w:pPr>
            <w:r w:rsidRPr="00DC20B1">
              <w:rPr>
                <w:sz w:val="24"/>
              </w:rPr>
              <w:t>018583</w:t>
            </w:r>
          </w:p>
        </w:tc>
        <w:tc>
          <w:tcPr>
            <w:tcW w:w="7069" w:type="dxa"/>
          </w:tcPr>
          <w:p w:rsidR="00DC20B1" w:rsidRPr="002E66D7" w:rsidRDefault="00DC20B1" w:rsidP="00B42C66">
            <w:pPr>
              <w:pStyle w:val="TableParagraph"/>
              <w:jc w:val="left"/>
              <w:rPr>
                <w:sz w:val="24"/>
                <w:lang w:val="en-US"/>
              </w:rPr>
            </w:pPr>
            <w:r w:rsidRPr="00DC20B1">
              <w:rPr>
                <w:rFonts w:hint="eastAsia"/>
                <w:sz w:val="24"/>
                <w:lang w:val="en-US"/>
              </w:rPr>
              <w:t>华泰紫金碳中和混合型发起式证券投资基金</w:t>
            </w:r>
            <w:r w:rsidRPr="00DC20B1">
              <w:rPr>
                <w:sz w:val="24"/>
                <w:lang w:val="en-US"/>
              </w:rPr>
              <w:t>C</w:t>
            </w:r>
          </w:p>
        </w:tc>
      </w:tr>
    </w:tbl>
    <w:p w:rsidR="00BE1E8F" w:rsidRDefault="00BE1E8F">
      <w:pPr>
        <w:rPr>
          <w:sz w:val="24"/>
        </w:rPr>
      </w:pPr>
    </w:p>
    <w:p w:rsidR="00BE1E8F" w:rsidRPr="000C30FE" w:rsidRDefault="00FD402C" w:rsidP="00BE1E8F">
      <w:pPr>
        <w:pStyle w:val="Default"/>
        <w:spacing w:line="360" w:lineRule="auto"/>
        <w:ind w:firstLineChars="200" w:firstLine="480"/>
        <w:rPr>
          <w:rFonts w:hAnsi="宋体"/>
        </w:rPr>
      </w:pPr>
      <w:r>
        <w:rPr>
          <w:rFonts w:hAnsi="宋体" w:hint="eastAsia"/>
          <w:kern w:val="2"/>
        </w:rPr>
        <w:t>截至</w:t>
      </w:r>
      <w:r w:rsidR="00D41959">
        <w:rPr>
          <w:rFonts w:hAnsi="宋体" w:hint="eastAsia"/>
          <w:kern w:val="2"/>
        </w:rPr>
        <w:t>2</w:t>
      </w:r>
      <w:r w:rsidR="00D41959">
        <w:rPr>
          <w:rFonts w:hAnsi="宋体"/>
          <w:kern w:val="2"/>
        </w:rPr>
        <w:t>023</w:t>
      </w:r>
      <w:r w:rsidR="00D41959">
        <w:rPr>
          <w:rFonts w:hAnsi="宋体" w:hint="eastAsia"/>
          <w:kern w:val="2"/>
        </w:rPr>
        <w:t>年1</w:t>
      </w:r>
      <w:bookmarkStart w:id="0" w:name="_GoBack"/>
      <w:bookmarkEnd w:id="0"/>
      <w:r w:rsidR="00D41959">
        <w:rPr>
          <w:rFonts w:hAnsi="宋体"/>
          <w:kern w:val="2"/>
        </w:rPr>
        <w:t>0</w:t>
      </w:r>
      <w:r w:rsidR="00D41959">
        <w:rPr>
          <w:rFonts w:hAnsi="宋体" w:hint="eastAsia"/>
          <w:kern w:val="2"/>
        </w:rPr>
        <w:t>月1</w:t>
      </w:r>
      <w:r w:rsidR="00D41959">
        <w:rPr>
          <w:rFonts w:hAnsi="宋体"/>
          <w:kern w:val="2"/>
        </w:rPr>
        <w:t>9</w:t>
      </w:r>
      <w:r w:rsidR="00D41959">
        <w:rPr>
          <w:rFonts w:hAnsi="宋体" w:hint="eastAsia"/>
          <w:kern w:val="2"/>
        </w:rPr>
        <w:t>日，</w:t>
      </w:r>
      <w:r w:rsidR="00BE1E8F" w:rsidRPr="000C30FE">
        <w:rPr>
          <w:rFonts w:hAnsi="宋体"/>
          <w:kern w:val="2"/>
        </w:rPr>
        <w:t>非港股通交易日</w:t>
      </w:r>
      <w:r w:rsidR="00BE1E8F" w:rsidRPr="000C30FE">
        <w:rPr>
          <w:rStyle w:val="a6"/>
          <w:rFonts w:hAnsi="宋体" w:hint="eastAsia"/>
          <w:b w:val="0"/>
        </w:rPr>
        <w:t>如下：</w:t>
      </w:r>
      <w:r w:rsidR="00BE1E8F" w:rsidRPr="000C30FE">
        <w:rPr>
          <w:rFonts w:hAnsi="宋体"/>
        </w:rPr>
        <w:t xml:space="preserve"> </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52"/>
        <w:gridCol w:w="6095"/>
      </w:tblGrid>
      <w:tr w:rsidR="00BE1E8F" w:rsidRPr="00166227" w:rsidTr="000C30FE">
        <w:trPr>
          <w:jc w:val="center"/>
        </w:trPr>
        <w:tc>
          <w:tcPr>
            <w:tcW w:w="2552" w:type="dxa"/>
            <w:vMerge w:val="restart"/>
            <w:shd w:val="clear" w:color="auto" w:fill="auto"/>
            <w:vAlign w:val="center"/>
          </w:tcPr>
          <w:p w:rsidR="00BE1E8F" w:rsidRPr="000C30FE" w:rsidRDefault="00BE1E8F" w:rsidP="00BA7244">
            <w:pPr>
              <w:pStyle w:val="Default"/>
              <w:spacing w:line="360" w:lineRule="auto"/>
              <w:rPr>
                <w:rFonts w:hAnsi="宋体"/>
                <w:kern w:val="2"/>
              </w:rPr>
            </w:pPr>
            <w:r w:rsidRPr="000C30FE">
              <w:rPr>
                <w:rFonts w:hAnsi="宋体" w:hint="eastAsia"/>
                <w:kern w:val="2"/>
              </w:rPr>
              <w:lastRenderedPageBreak/>
              <w:t>2</w:t>
            </w:r>
            <w:r w:rsidRPr="000C30FE">
              <w:rPr>
                <w:rFonts w:hAnsi="宋体"/>
                <w:kern w:val="2"/>
              </w:rPr>
              <w:t>023</w:t>
            </w:r>
            <w:r w:rsidRPr="000C30FE">
              <w:rPr>
                <w:rFonts w:hAnsi="宋体" w:hint="eastAsia"/>
                <w:kern w:val="2"/>
              </w:rPr>
              <w:t>年非港股通交易日</w:t>
            </w:r>
          </w:p>
        </w:tc>
        <w:tc>
          <w:tcPr>
            <w:tcW w:w="6095" w:type="dxa"/>
            <w:shd w:val="clear" w:color="auto" w:fill="auto"/>
            <w:vAlign w:val="center"/>
          </w:tcPr>
          <w:p w:rsidR="00BE1E8F" w:rsidRPr="00166227" w:rsidRDefault="00BE1E8F" w:rsidP="00DF0467">
            <w:pPr>
              <w:pStyle w:val="Default"/>
              <w:spacing w:line="360" w:lineRule="auto"/>
              <w:jc w:val="center"/>
              <w:rPr>
                <w:rFonts w:hAnsi="宋体"/>
                <w:kern w:val="2"/>
                <w:sz w:val="21"/>
                <w:szCs w:val="21"/>
              </w:rPr>
            </w:pPr>
            <w:r w:rsidRPr="0071430B">
              <w:rPr>
                <w:rStyle w:val="a6"/>
                <w:rFonts w:hint="eastAsia"/>
              </w:rPr>
              <w:t>日期</w:t>
            </w:r>
          </w:p>
        </w:tc>
      </w:tr>
      <w:tr w:rsidR="00BA7244" w:rsidRPr="00166227" w:rsidTr="000C30FE">
        <w:trPr>
          <w:jc w:val="center"/>
        </w:trPr>
        <w:tc>
          <w:tcPr>
            <w:tcW w:w="2552" w:type="dxa"/>
            <w:vMerge/>
            <w:shd w:val="clear" w:color="auto" w:fill="auto"/>
            <w:vAlign w:val="center"/>
          </w:tcPr>
          <w:p w:rsidR="00BA7244" w:rsidRPr="00166227" w:rsidRDefault="00BA7244" w:rsidP="00BA7244">
            <w:pPr>
              <w:pStyle w:val="Default"/>
              <w:spacing w:line="360" w:lineRule="auto"/>
              <w:rPr>
                <w:rFonts w:hAnsi="宋体"/>
                <w:kern w:val="2"/>
                <w:sz w:val="21"/>
                <w:szCs w:val="21"/>
              </w:rPr>
            </w:pPr>
          </w:p>
        </w:tc>
        <w:tc>
          <w:tcPr>
            <w:tcW w:w="6095" w:type="dxa"/>
            <w:shd w:val="clear" w:color="auto" w:fill="auto"/>
            <w:vAlign w:val="center"/>
          </w:tcPr>
          <w:p w:rsidR="00BA7244" w:rsidRPr="00F44DC3" w:rsidRDefault="00F44DC3" w:rsidP="00DF0467">
            <w:pPr>
              <w:pStyle w:val="Default"/>
              <w:spacing w:line="360" w:lineRule="auto"/>
              <w:jc w:val="center"/>
              <w:rPr>
                <w:rStyle w:val="a6"/>
                <w:b w:val="0"/>
              </w:rPr>
            </w:pPr>
            <w:r>
              <w:rPr>
                <w:rStyle w:val="a6"/>
                <w:b w:val="0"/>
              </w:rPr>
              <w:t>2023</w:t>
            </w:r>
            <w:r>
              <w:rPr>
                <w:rStyle w:val="a6"/>
                <w:rFonts w:hint="eastAsia"/>
                <w:b w:val="0"/>
              </w:rPr>
              <w:t>年</w:t>
            </w:r>
            <w:r w:rsidRPr="00F44DC3">
              <w:rPr>
                <w:rStyle w:val="a6"/>
                <w:b w:val="0"/>
              </w:rPr>
              <w:t>10月23日</w:t>
            </w:r>
          </w:p>
        </w:tc>
      </w:tr>
      <w:tr w:rsidR="00BA7244" w:rsidRPr="00166227" w:rsidTr="000C30FE">
        <w:trPr>
          <w:jc w:val="center"/>
        </w:trPr>
        <w:tc>
          <w:tcPr>
            <w:tcW w:w="2552" w:type="dxa"/>
            <w:vMerge/>
            <w:shd w:val="clear" w:color="auto" w:fill="auto"/>
            <w:vAlign w:val="center"/>
          </w:tcPr>
          <w:p w:rsidR="00BA7244" w:rsidRPr="00166227" w:rsidRDefault="00BA7244" w:rsidP="00BA7244">
            <w:pPr>
              <w:pStyle w:val="Default"/>
              <w:spacing w:line="360" w:lineRule="auto"/>
              <w:rPr>
                <w:rFonts w:hAnsi="宋体"/>
                <w:kern w:val="2"/>
                <w:sz w:val="21"/>
                <w:szCs w:val="21"/>
              </w:rPr>
            </w:pPr>
          </w:p>
        </w:tc>
        <w:tc>
          <w:tcPr>
            <w:tcW w:w="6095" w:type="dxa"/>
            <w:shd w:val="clear" w:color="auto" w:fill="auto"/>
            <w:vAlign w:val="center"/>
          </w:tcPr>
          <w:p w:rsidR="00BA7244" w:rsidRPr="00F44DC3" w:rsidRDefault="00F44DC3" w:rsidP="00DF0467">
            <w:pPr>
              <w:pStyle w:val="Default"/>
              <w:spacing w:line="360" w:lineRule="auto"/>
              <w:jc w:val="center"/>
              <w:rPr>
                <w:rStyle w:val="a6"/>
                <w:b w:val="0"/>
              </w:rPr>
            </w:pPr>
            <w:r>
              <w:rPr>
                <w:rStyle w:val="a6"/>
                <w:b w:val="0"/>
              </w:rPr>
              <w:t>2023</w:t>
            </w:r>
            <w:r>
              <w:rPr>
                <w:rStyle w:val="a6"/>
                <w:rFonts w:hint="eastAsia"/>
                <w:b w:val="0"/>
              </w:rPr>
              <w:t>年</w:t>
            </w:r>
            <w:r w:rsidRPr="00F44DC3">
              <w:rPr>
                <w:rStyle w:val="a6"/>
                <w:b w:val="0"/>
              </w:rPr>
              <w:t>12月25日</w:t>
            </w:r>
          </w:p>
        </w:tc>
      </w:tr>
      <w:tr w:rsidR="00BA7244" w:rsidRPr="00166227" w:rsidTr="000C30FE">
        <w:trPr>
          <w:jc w:val="center"/>
        </w:trPr>
        <w:tc>
          <w:tcPr>
            <w:tcW w:w="2552" w:type="dxa"/>
            <w:vMerge/>
            <w:shd w:val="clear" w:color="auto" w:fill="auto"/>
            <w:vAlign w:val="center"/>
          </w:tcPr>
          <w:p w:rsidR="00BA7244" w:rsidRPr="00166227" w:rsidRDefault="00BA7244" w:rsidP="00BA7244">
            <w:pPr>
              <w:pStyle w:val="Default"/>
              <w:spacing w:line="360" w:lineRule="auto"/>
              <w:rPr>
                <w:rFonts w:hAnsi="宋体"/>
                <w:kern w:val="2"/>
                <w:sz w:val="21"/>
                <w:szCs w:val="21"/>
              </w:rPr>
            </w:pPr>
          </w:p>
        </w:tc>
        <w:tc>
          <w:tcPr>
            <w:tcW w:w="6095" w:type="dxa"/>
            <w:shd w:val="clear" w:color="auto" w:fill="auto"/>
            <w:vAlign w:val="center"/>
          </w:tcPr>
          <w:p w:rsidR="00BA7244" w:rsidRPr="00F44DC3" w:rsidRDefault="00F44DC3" w:rsidP="00DF0467">
            <w:pPr>
              <w:pStyle w:val="Default"/>
              <w:spacing w:line="360" w:lineRule="auto"/>
              <w:jc w:val="center"/>
              <w:rPr>
                <w:rStyle w:val="a6"/>
                <w:b w:val="0"/>
              </w:rPr>
            </w:pPr>
            <w:r>
              <w:t>2023</w:t>
            </w:r>
            <w:r>
              <w:rPr>
                <w:rFonts w:hint="eastAsia"/>
              </w:rPr>
              <w:t>年</w:t>
            </w:r>
            <w:r w:rsidRPr="00CB25DD">
              <w:t>12月</w:t>
            </w:r>
            <w:r>
              <w:t>26</w:t>
            </w:r>
            <w:r w:rsidRPr="00CB25DD">
              <w:t>日</w:t>
            </w:r>
          </w:p>
        </w:tc>
      </w:tr>
    </w:tbl>
    <w:p w:rsidR="00BE1E8F" w:rsidRDefault="00BE1E8F" w:rsidP="00BE1E8F">
      <w:pPr>
        <w:rPr>
          <w:sz w:val="24"/>
        </w:rPr>
      </w:pPr>
    </w:p>
    <w:p w:rsidR="000742C4" w:rsidRPr="000C30FE" w:rsidRDefault="00CB25DD" w:rsidP="000C30FE">
      <w:pPr>
        <w:spacing w:line="360" w:lineRule="auto"/>
        <w:ind w:firstLineChars="200" w:firstLine="460"/>
        <w:jc w:val="both"/>
        <w:rPr>
          <w:spacing w:val="-10"/>
          <w:sz w:val="24"/>
          <w:szCs w:val="24"/>
        </w:rPr>
      </w:pPr>
      <w:r w:rsidRPr="000C30FE">
        <w:rPr>
          <w:spacing w:val="-10"/>
          <w:sz w:val="24"/>
          <w:szCs w:val="24"/>
        </w:rPr>
        <w:t>2023年12月28日（星期四）至12月29</w:t>
      </w:r>
      <w:r w:rsidR="000C30FE" w:rsidRPr="000C30FE">
        <w:rPr>
          <w:spacing w:val="-10"/>
          <w:sz w:val="24"/>
          <w:szCs w:val="24"/>
        </w:rPr>
        <w:t>日（星期五）是否提供港股通服务，</w:t>
      </w:r>
      <w:r w:rsidRPr="000C30FE">
        <w:rPr>
          <w:spacing w:val="-10"/>
          <w:sz w:val="24"/>
          <w:szCs w:val="24"/>
        </w:rPr>
        <w:t>待中国证监会关于2024年节假日放假和休市安排确定后</w:t>
      </w:r>
      <w:r w:rsidR="000C30FE" w:rsidRPr="000C30FE">
        <w:rPr>
          <w:rFonts w:hint="eastAsia"/>
          <w:spacing w:val="-10"/>
          <w:sz w:val="24"/>
          <w:szCs w:val="24"/>
        </w:rPr>
        <w:t>，本公司将另行公告。</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t>若非港股通交易日安排发生变化，影响上述基金申购及赎回业务办理的，本公司将进行相应调整并公告。</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t>本公告仅对基金的非港股通交易日暂停及后续恢复相关业务予以说明，如遇上述基金因其他原因暂停相关业务的，具体业务办理以相关公告为准。</w:t>
      </w:r>
    </w:p>
    <w:p w:rsid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t>风险提示：本公司承诺以诚实信用、勤勉尽责的原则管理和运用基金资产，但不保证基金一定盈利，也不保证最低收益。投资者投资基金之前应认真阅读各基金的《基金合同》、《招募说明书》、《基金产品资料概要》等文件。敬请投资者留意投资风险。</w:t>
      </w:r>
    </w:p>
    <w:p w:rsidR="00D41959" w:rsidRDefault="00D41959" w:rsidP="00D41959">
      <w:pPr>
        <w:spacing w:line="360" w:lineRule="auto"/>
        <w:jc w:val="both"/>
        <w:rPr>
          <w:spacing w:val="-10"/>
          <w:sz w:val="24"/>
          <w:szCs w:val="24"/>
        </w:rPr>
      </w:pPr>
    </w:p>
    <w:p w:rsidR="00D41959" w:rsidRDefault="00D41959" w:rsidP="00D41959">
      <w:pPr>
        <w:spacing w:line="360" w:lineRule="auto"/>
        <w:jc w:val="both"/>
        <w:rPr>
          <w:spacing w:val="-10"/>
          <w:sz w:val="24"/>
          <w:szCs w:val="24"/>
        </w:rPr>
      </w:pPr>
    </w:p>
    <w:p w:rsidR="00D41959" w:rsidRDefault="00D41959" w:rsidP="00D41959">
      <w:pPr>
        <w:spacing w:line="360" w:lineRule="auto"/>
        <w:jc w:val="both"/>
        <w:rPr>
          <w:spacing w:val="-10"/>
          <w:sz w:val="24"/>
          <w:szCs w:val="24"/>
        </w:rPr>
      </w:pPr>
    </w:p>
    <w:p w:rsidR="00D41959" w:rsidRDefault="00D41959" w:rsidP="00D41959">
      <w:pPr>
        <w:pStyle w:val="a3"/>
        <w:ind w:right="296"/>
        <w:jc w:val="right"/>
      </w:pPr>
      <w:r>
        <w:t>华泰证券(上海)资产管理有限公司</w:t>
      </w:r>
    </w:p>
    <w:p w:rsidR="000742C4" w:rsidRDefault="00D41959" w:rsidP="00FD402C">
      <w:pPr>
        <w:pStyle w:val="a3"/>
        <w:spacing w:before="161"/>
        <w:ind w:right="296"/>
        <w:jc w:val="right"/>
        <w:rPr>
          <w:sz w:val="26"/>
        </w:rPr>
      </w:pPr>
      <w:r>
        <w:t>2023</w:t>
      </w:r>
      <w:r>
        <w:rPr>
          <w:spacing w:val="-40"/>
        </w:rPr>
        <w:t xml:space="preserve"> 年 </w:t>
      </w:r>
      <w:r>
        <w:t>10</w:t>
      </w:r>
      <w:r>
        <w:rPr>
          <w:spacing w:val="-40"/>
        </w:rPr>
        <w:t xml:space="preserve"> 月 </w:t>
      </w:r>
      <w:r>
        <w:t>19</w:t>
      </w:r>
      <w:r>
        <w:rPr>
          <w:rFonts w:hint="eastAsia"/>
          <w:spacing w:val="-30"/>
        </w:rPr>
        <w:t>日</w:t>
      </w:r>
    </w:p>
    <w:sectPr w:rsidR="000742C4" w:rsidSect="003D66EF">
      <w:headerReference w:type="default" r:id="rId6"/>
      <w:footerReference w:type="default" r:id="rId7"/>
      <w:pgSz w:w="11910" w:h="16840"/>
      <w:pgMar w:top="1420" w:right="1500" w:bottom="1400" w:left="1520" w:header="877" w:footer="12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47" w:rsidRDefault="003C0447">
      <w:r>
        <w:separator/>
      </w:r>
    </w:p>
  </w:endnote>
  <w:endnote w:type="continuationSeparator" w:id="0">
    <w:p w:rsidR="003C0447" w:rsidRDefault="003C0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C4" w:rsidRDefault="003D66EF">
    <w:pPr>
      <w:pStyle w:val="a3"/>
      <w:spacing w:line="14" w:lineRule="auto"/>
      <w:rPr>
        <w:sz w:val="20"/>
      </w:rPr>
    </w:pPr>
    <w:r w:rsidRPr="003D66EF">
      <w:rPr>
        <w:noProof/>
        <w:lang w:val="en-US" w:bidi="ar-SA"/>
      </w:rPr>
      <w:pict>
        <v:shapetype id="_x0000_t202" coordsize="21600,21600" o:spt="202" path="m,l,21600r21600,l21600,xe">
          <v:stroke joinstyle="miter"/>
          <v:path gradientshapeok="t" o:connecttype="rect"/>
        </v:shapetype>
        <v:shape id="Text Box 1" o:spid="_x0000_s4097" type="#_x0000_t202" style="position:absolute;margin-left:265.1pt;margin-top:770.05pt;width:65.3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" filled="f" stroked="f">
          <v:textbox inset="0,0,0,0">
            <w:txbxContent>
              <w:p w:rsidR="000742C4" w:rsidRDefault="00787E08">
                <w:pPr>
                  <w:spacing w:line="225" w:lineRule="exact"/>
                  <w:ind w:left="20"/>
                  <w:rPr>
                    <w:sz w:val="18"/>
                  </w:rPr>
                </w:pPr>
                <w:r>
                  <w:rPr>
                    <w:sz w:val="18"/>
                  </w:rPr>
                  <w:t xml:space="preserve">第 </w:t>
                </w:r>
                <w:r w:rsidR="003D66EF">
                  <w:fldChar w:fldCharType="begin"/>
                </w:r>
                <w:r>
                  <w:rPr>
                    <w:rFonts w:ascii="Calibri" w:eastAsia="Calibri"/>
                    <w:sz w:val="18"/>
                  </w:rPr>
                  <w:instrText xml:space="preserve"> PAGE </w:instrText>
                </w:r>
                <w:r w:rsidR="003D66EF">
                  <w:fldChar w:fldCharType="separate"/>
                </w:r>
                <w:r w:rsidR="00F426F1">
                  <w:rPr>
                    <w:rFonts w:ascii="Calibri" w:eastAsia="Calibri"/>
                    <w:noProof/>
                    <w:sz w:val="18"/>
                  </w:rPr>
                  <w:t>1</w:t>
                </w:r>
                <w:r w:rsidR="003D66EF">
                  <w:fldChar w:fldCharType="end"/>
                </w:r>
                <w:r>
                  <w:rPr>
                    <w:rFonts w:ascii="Calibri" w:eastAsia="Calibri"/>
                    <w:sz w:val="18"/>
                  </w:rPr>
                  <w:t xml:space="preserve"> </w:t>
                </w:r>
                <w:r>
                  <w:rPr>
                    <w:sz w:val="18"/>
                  </w:rPr>
                  <w:t xml:space="preserve">页 共 </w:t>
                </w:r>
                <w:r>
                  <w:rPr>
                    <w:rFonts w:ascii="Calibri" w:eastAsia="Calibri"/>
                    <w:sz w:val="18"/>
                  </w:rPr>
                  <w:t xml:space="preserve">2 </w:t>
                </w:r>
                <w:r>
                  <w:rPr>
                    <w:sz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47" w:rsidRDefault="003C0447">
      <w:r>
        <w:separator/>
      </w:r>
    </w:p>
  </w:footnote>
  <w:footnote w:type="continuationSeparator" w:id="0">
    <w:p w:rsidR="003C0447" w:rsidRDefault="003C0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C4" w:rsidRDefault="003D66EF">
    <w:pPr>
      <w:pStyle w:val="a3"/>
      <w:spacing w:line="14" w:lineRule="auto"/>
      <w:rPr>
        <w:sz w:val="20"/>
      </w:rPr>
    </w:pPr>
    <w:r w:rsidRPr="003D66EF">
      <w:rPr>
        <w:noProof/>
        <w:lang w:val="en-US" w:bidi="ar-SA"/>
      </w:rPr>
      <w:pict>
        <v:line id="Line 3" o:spid="_x0000_s4099"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55.55pt" to="506.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" strokeweight=".72pt">
          <w10:wrap anchorx="page" anchory="page"/>
        </v:line>
      </w:pict>
    </w:r>
    <w:r w:rsidRPr="003D66EF">
      <w:rPr>
        <w:noProof/>
        <w:lang w:val="en-US" w:bidi="ar-SA"/>
      </w:rPr>
      <w:pict>
        <v:shapetype id="_x0000_t202" coordsize="21600,21600" o:spt="202" path="m,l,21600r21600,l21600,xe">
          <v:stroke joinstyle="miter"/>
          <v:path gradientshapeok="t" o:connecttype="rect"/>
        </v:shapetype>
        <v:shape id="Text Box 2" o:spid="_x0000_s4098" type="#_x0000_t202" style="position:absolute;margin-left:98.6pt;margin-top:42.85pt;width:398pt;height:11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uEqw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" filled="f" stroked="f">
          <v:textbox inset="0,0,0,0">
            <w:txbxContent>
              <w:p w:rsidR="000742C4" w:rsidRDefault="00787E08">
                <w:pPr>
                  <w:spacing w:line="220" w:lineRule="exact"/>
                  <w:ind w:left="20"/>
                  <w:rPr>
                    <w:sz w:val="18"/>
                  </w:rPr>
                </w:pPr>
                <w:r>
                  <w:rPr>
                    <w:sz w:val="18"/>
                  </w:rPr>
                  <w:t>华泰证券（上海）资产管理有限公司关于旗下部分基金非港股通交易日暂停申购、赎回等业务的公告</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useFELayout/>
  </w:compat>
  <w:rsids>
    <w:rsidRoot w:val="000742C4"/>
    <w:rsid w:val="000742C4"/>
    <w:rsid w:val="000C30FE"/>
    <w:rsid w:val="0013061E"/>
    <w:rsid w:val="00192F14"/>
    <w:rsid w:val="00227215"/>
    <w:rsid w:val="002F3710"/>
    <w:rsid w:val="00342076"/>
    <w:rsid w:val="0038357C"/>
    <w:rsid w:val="003C0447"/>
    <w:rsid w:val="003D66EF"/>
    <w:rsid w:val="005F0446"/>
    <w:rsid w:val="00650C53"/>
    <w:rsid w:val="00786057"/>
    <w:rsid w:val="00787E08"/>
    <w:rsid w:val="00793ACC"/>
    <w:rsid w:val="007D687E"/>
    <w:rsid w:val="00A03134"/>
    <w:rsid w:val="00AC6F03"/>
    <w:rsid w:val="00AD5B8B"/>
    <w:rsid w:val="00B42C66"/>
    <w:rsid w:val="00BA7244"/>
    <w:rsid w:val="00BE1E8F"/>
    <w:rsid w:val="00CA7D46"/>
    <w:rsid w:val="00CB25DD"/>
    <w:rsid w:val="00CD6C62"/>
    <w:rsid w:val="00D41959"/>
    <w:rsid w:val="00DC20B1"/>
    <w:rsid w:val="00DF7C6E"/>
    <w:rsid w:val="00E34AFC"/>
    <w:rsid w:val="00F426F1"/>
    <w:rsid w:val="00F44DC3"/>
    <w:rsid w:val="00FD4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66EF"/>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66EF"/>
    <w:tblPr>
      <w:tblInd w:w="0" w:type="dxa"/>
      <w:tblCellMar>
        <w:top w:w="0" w:type="dxa"/>
        <w:left w:w="0" w:type="dxa"/>
        <w:bottom w:w="0" w:type="dxa"/>
        <w:right w:w="0" w:type="dxa"/>
      </w:tblCellMar>
    </w:tblPr>
  </w:style>
  <w:style w:type="paragraph" w:styleId="a3">
    <w:name w:val="Body Text"/>
    <w:basedOn w:val="a"/>
    <w:uiPriority w:val="1"/>
    <w:qFormat/>
    <w:rsid w:val="003D66EF"/>
    <w:rPr>
      <w:sz w:val="24"/>
      <w:szCs w:val="24"/>
    </w:rPr>
  </w:style>
  <w:style w:type="paragraph" w:styleId="a4">
    <w:name w:val="List Paragraph"/>
    <w:basedOn w:val="a"/>
    <w:uiPriority w:val="1"/>
    <w:qFormat/>
    <w:rsid w:val="003D66EF"/>
  </w:style>
  <w:style w:type="paragraph" w:customStyle="1" w:styleId="TableParagraph">
    <w:name w:val="Table Paragraph"/>
    <w:basedOn w:val="a"/>
    <w:uiPriority w:val="1"/>
    <w:qFormat/>
    <w:rsid w:val="003D66EF"/>
    <w:pPr>
      <w:spacing w:before="79"/>
      <w:ind w:left="9"/>
      <w:jc w:val="center"/>
    </w:pPr>
  </w:style>
  <w:style w:type="paragraph" w:styleId="a5">
    <w:name w:val="Balloon Text"/>
    <w:basedOn w:val="a"/>
    <w:link w:val="Char"/>
    <w:uiPriority w:val="99"/>
    <w:semiHidden/>
    <w:unhideWhenUsed/>
    <w:rsid w:val="00227215"/>
    <w:rPr>
      <w:sz w:val="18"/>
      <w:szCs w:val="18"/>
    </w:rPr>
  </w:style>
  <w:style w:type="character" w:customStyle="1" w:styleId="Char">
    <w:name w:val="批注框文本 Char"/>
    <w:basedOn w:val="a0"/>
    <w:link w:val="a5"/>
    <w:uiPriority w:val="99"/>
    <w:semiHidden/>
    <w:rsid w:val="00227215"/>
    <w:rPr>
      <w:rFonts w:ascii="宋体" w:eastAsia="宋体" w:hAnsi="宋体" w:cs="宋体"/>
      <w:sz w:val="18"/>
      <w:szCs w:val="18"/>
      <w:lang w:val="zh-CN" w:eastAsia="zh-CN" w:bidi="zh-CN"/>
    </w:rPr>
  </w:style>
  <w:style w:type="character" w:styleId="a6">
    <w:name w:val="Strong"/>
    <w:uiPriority w:val="22"/>
    <w:qFormat/>
    <w:rsid w:val="00BE1E8F"/>
    <w:rPr>
      <w:b/>
      <w:bCs/>
    </w:rPr>
  </w:style>
  <w:style w:type="paragraph" w:customStyle="1" w:styleId="Default">
    <w:name w:val="Default"/>
    <w:qFormat/>
    <w:rsid w:val="00BE1E8F"/>
    <w:pPr>
      <w:adjustRightInd w:val="0"/>
    </w:pPr>
    <w:rPr>
      <w:rFonts w:ascii="宋体" w:eastAsia="宋体" w:hAnsi="Times New Roman" w:cs="宋体"/>
      <w:color w:val="000000"/>
      <w:sz w:val="24"/>
      <w:szCs w:val="24"/>
      <w:lang w:eastAsia="zh-CN"/>
    </w:rPr>
  </w:style>
  <w:style w:type="paragraph" w:styleId="a7">
    <w:name w:val="header"/>
    <w:basedOn w:val="a"/>
    <w:link w:val="Char0"/>
    <w:uiPriority w:val="99"/>
    <w:unhideWhenUsed/>
    <w:rsid w:val="00650C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50C53"/>
    <w:rPr>
      <w:rFonts w:ascii="宋体" w:eastAsia="宋体" w:hAnsi="宋体" w:cs="宋体"/>
      <w:sz w:val="18"/>
      <w:szCs w:val="18"/>
      <w:lang w:val="zh-CN" w:eastAsia="zh-CN" w:bidi="zh-CN"/>
    </w:rPr>
  </w:style>
  <w:style w:type="paragraph" w:styleId="a8">
    <w:name w:val="footer"/>
    <w:basedOn w:val="a"/>
    <w:link w:val="Char1"/>
    <w:uiPriority w:val="99"/>
    <w:unhideWhenUsed/>
    <w:rsid w:val="00650C53"/>
    <w:pPr>
      <w:tabs>
        <w:tab w:val="center" w:pos="4153"/>
        <w:tab w:val="right" w:pos="8306"/>
      </w:tabs>
      <w:snapToGrid w:val="0"/>
    </w:pPr>
    <w:rPr>
      <w:sz w:val="18"/>
      <w:szCs w:val="18"/>
    </w:rPr>
  </w:style>
  <w:style w:type="character" w:customStyle="1" w:styleId="Char1">
    <w:name w:val="页脚 Char"/>
    <w:basedOn w:val="a0"/>
    <w:link w:val="a8"/>
    <w:uiPriority w:val="99"/>
    <w:rsid w:val="00650C53"/>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divs>
    <w:div w:id="10947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4</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ZHONGM</cp:lastModifiedBy>
  <cp:revision>2</cp:revision>
  <dcterms:created xsi:type="dcterms:W3CDTF">2023-10-18T16:00:00Z</dcterms:created>
  <dcterms:modified xsi:type="dcterms:W3CDTF">2023-10-18T16:00:00Z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2010</vt:lpwstr>
  </property>
  <property fmtid="{D5CDD505-2E9C-101B-9397-08002B2CF9AE}" pid="4" name="LastSaved">
    <vt:filetime>2022-11-02T00:00:00Z</vt:filetime>
  </property>
</Properties>
</file>