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EF" w:rsidRDefault="009B37E2" w:rsidP="009B37E2">
      <w:pPr>
        <w:keepNext/>
        <w:keepLines/>
        <w:spacing w:line="560" w:lineRule="exact"/>
        <w:jc w:val="center"/>
        <w:outlineLvl w:val="0"/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</w:pPr>
      <w:r w:rsidRPr="009B37E2"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  <w:t>关于</w:t>
      </w:r>
      <w:r w:rsidRPr="009B37E2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嘉实全球互联网股票</w:t>
      </w:r>
    </w:p>
    <w:p w:rsidR="007A1599" w:rsidRDefault="00772677" w:rsidP="004672C3">
      <w:pPr>
        <w:keepNext/>
        <w:keepLines/>
        <w:spacing w:line="560" w:lineRule="exact"/>
        <w:jc w:val="center"/>
        <w:outlineLvl w:val="0"/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</w:pPr>
      <w:r w:rsidRPr="00772677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2023</w:t>
      </w:r>
      <w:r w:rsidRPr="00772677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年</w:t>
      </w:r>
      <w:r w:rsidRPr="00772677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10</w:t>
      </w:r>
      <w:r w:rsidRPr="00772677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月</w:t>
      </w:r>
      <w:r w:rsidRPr="00772677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23</w:t>
      </w:r>
      <w:r w:rsidRPr="00772677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日</w:t>
      </w:r>
    </w:p>
    <w:p w:rsidR="009B37E2" w:rsidRPr="009B37E2" w:rsidRDefault="009B37E2" w:rsidP="004672C3">
      <w:pPr>
        <w:keepNext/>
        <w:keepLines/>
        <w:spacing w:line="560" w:lineRule="exact"/>
        <w:jc w:val="center"/>
        <w:outlineLvl w:val="0"/>
        <w:rPr>
          <w:rFonts w:ascii="Arial" w:eastAsia="黑体" w:hAnsi="Arial" w:cs="Arial"/>
          <w:b/>
          <w:bCs/>
          <w:color w:val="FF0000"/>
          <w:spacing w:val="-20"/>
          <w:kern w:val="44"/>
          <w:sz w:val="30"/>
          <w:szCs w:val="30"/>
        </w:rPr>
      </w:pPr>
      <w:r w:rsidRPr="009B37E2"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  <w:t>暂停</w:t>
      </w:r>
      <w:r w:rsidR="00A66E0D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申购</w:t>
      </w:r>
      <w:r w:rsidR="004C10FC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、</w:t>
      </w:r>
      <w:r w:rsidR="00A66E0D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赎回</w:t>
      </w:r>
      <w:r w:rsidR="007A56DD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及定投</w:t>
      </w:r>
      <w:r w:rsidRPr="009B37E2"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  <w:t>业务的公告</w:t>
      </w:r>
    </w:p>
    <w:p w:rsidR="0009149F" w:rsidRPr="00572562" w:rsidRDefault="0009149F" w:rsidP="00EC5873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572562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772677">
        <w:rPr>
          <w:rFonts w:asciiTheme="minorEastAsia" w:eastAsiaTheme="minorEastAsia" w:hAnsiTheme="minorEastAsia" w:cs="Arial"/>
          <w:color w:val="000000"/>
          <w:sz w:val="24"/>
        </w:rPr>
        <w:t>20</w:t>
      </w:r>
      <w:r w:rsidR="00772677" w:rsidRPr="00D37BD6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772677">
        <w:rPr>
          <w:rFonts w:asciiTheme="minorEastAsia" w:eastAsiaTheme="minorEastAsia" w:hAnsiTheme="minorEastAsia" w:cs="Arial"/>
          <w:color w:val="000000"/>
          <w:sz w:val="24"/>
        </w:rPr>
        <w:t>3</w:t>
      </w:r>
      <w:r w:rsidR="00772677" w:rsidRPr="00D37BD6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772677">
        <w:rPr>
          <w:rFonts w:asciiTheme="minorEastAsia" w:eastAsiaTheme="minorEastAsia" w:hAnsiTheme="minorEastAsia" w:cs="Arial"/>
          <w:color w:val="000000"/>
          <w:sz w:val="24"/>
        </w:rPr>
        <w:t>10</w:t>
      </w:r>
      <w:r w:rsidR="00772677" w:rsidRPr="00D37BD6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772677">
        <w:rPr>
          <w:rFonts w:asciiTheme="minorEastAsia" w:eastAsiaTheme="minorEastAsia" w:hAnsiTheme="minorEastAsia" w:cs="Arial"/>
          <w:color w:val="000000"/>
          <w:sz w:val="24"/>
        </w:rPr>
        <w:t>19</w:t>
      </w:r>
      <w:r w:rsidR="00772677" w:rsidRPr="00D37BD6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09149F" w:rsidRPr="00572562" w:rsidRDefault="0009149F" w:rsidP="0009149F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395"/>
      <w:r w:rsidRPr="0057256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8418" w:type="dxa"/>
        <w:tblInd w:w="93" w:type="dxa"/>
        <w:tblLook w:val="04A0"/>
      </w:tblPr>
      <w:tblGrid>
        <w:gridCol w:w="1367"/>
        <w:gridCol w:w="2563"/>
        <w:gridCol w:w="1472"/>
        <w:gridCol w:w="1559"/>
        <w:gridCol w:w="1457"/>
      </w:tblGrid>
      <w:tr w:rsidR="00F3445A" w:rsidRPr="00572562" w:rsidTr="004B525F">
        <w:trPr>
          <w:trHeight w:val="510"/>
        </w:trPr>
        <w:tc>
          <w:tcPr>
            <w:tcW w:w="3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</w:p>
        </w:tc>
      </w:tr>
      <w:tr w:rsidR="00F3445A" w:rsidRPr="00572562" w:rsidTr="004B525F">
        <w:trPr>
          <w:trHeight w:val="52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7925B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7925B6" w:rsidP="001623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000988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7925B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7925B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的有关规定，以及纽约</w:t>
            </w:r>
            <w:r w:rsidR="00B25039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="00B25039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交易所、香港交易所的休市安排</w:t>
            </w:r>
          </w:p>
        </w:tc>
      </w:tr>
      <w:tr w:rsidR="00772677" w:rsidRPr="00572562" w:rsidTr="004B525F">
        <w:trPr>
          <w:trHeight w:val="285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677" w:rsidRPr="00572562" w:rsidRDefault="00772677" w:rsidP="0077267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677" w:rsidRPr="00572562" w:rsidRDefault="00772677" w:rsidP="00772677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2677" w:rsidRPr="00D37BD6" w:rsidRDefault="00772677" w:rsidP="00772677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2023年10月23日</w:t>
            </w:r>
          </w:p>
        </w:tc>
      </w:tr>
      <w:tr w:rsidR="00772677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677" w:rsidRPr="00572562" w:rsidRDefault="00772677" w:rsidP="0077267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677" w:rsidRPr="00572562" w:rsidRDefault="00772677" w:rsidP="00772677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2677" w:rsidRDefault="00772677" w:rsidP="00772677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2023年10月23日</w:t>
            </w:r>
          </w:p>
        </w:tc>
      </w:tr>
      <w:tr w:rsidR="00772677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677" w:rsidRPr="00572562" w:rsidRDefault="00772677" w:rsidP="0077267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677" w:rsidRPr="00572562" w:rsidRDefault="00772677" w:rsidP="00772677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2677" w:rsidRDefault="00772677" w:rsidP="00772677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2023年10月23日</w:t>
            </w:r>
          </w:p>
        </w:tc>
      </w:tr>
      <w:tr w:rsidR="00772677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677" w:rsidRPr="00572562" w:rsidRDefault="00772677" w:rsidP="0077267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677" w:rsidRPr="00572562" w:rsidRDefault="00772677" w:rsidP="00772677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2677" w:rsidRPr="00D37BD6" w:rsidRDefault="00772677" w:rsidP="00772677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2023年10月23日香港交易所休市</w:t>
            </w:r>
          </w:p>
        </w:tc>
      </w:tr>
      <w:tr w:rsidR="00772677" w:rsidRPr="00572562" w:rsidTr="004B525F">
        <w:trPr>
          <w:trHeight w:val="285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677" w:rsidRPr="00572562" w:rsidRDefault="00772677" w:rsidP="0077267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677" w:rsidRPr="00572562" w:rsidRDefault="00772677" w:rsidP="00772677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2677" w:rsidRPr="00D37BD6" w:rsidRDefault="00772677" w:rsidP="00772677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2023年10月24日</w:t>
            </w:r>
          </w:p>
        </w:tc>
      </w:tr>
      <w:tr w:rsidR="00772677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677" w:rsidRPr="00572562" w:rsidRDefault="00772677" w:rsidP="0077267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677" w:rsidRPr="00572562" w:rsidRDefault="00772677" w:rsidP="00772677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2677" w:rsidRDefault="00772677" w:rsidP="00772677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2023年10月24日</w:t>
            </w:r>
          </w:p>
        </w:tc>
      </w:tr>
      <w:tr w:rsidR="00772677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677" w:rsidRPr="00572562" w:rsidRDefault="00772677" w:rsidP="0077267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677" w:rsidRPr="00572562" w:rsidRDefault="00772677" w:rsidP="00772677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2677" w:rsidRDefault="00772677" w:rsidP="00772677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2023年10月24日</w:t>
            </w:r>
          </w:p>
        </w:tc>
      </w:tr>
      <w:tr w:rsidR="00FA1238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238" w:rsidRPr="00572562" w:rsidRDefault="00FA1238" w:rsidP="00FA1238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1238" w:rsidRPr="00572562" w:rsidRDefault="00772677" w:rsidP="00FA1238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2023年10月24日</w:t>
            </w:r>
            <w:r w:rsidR="00FA1238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（星期二</w:t>
            </w:r>
            <w:r w:rsidR="00FA1238" w:rsidRPr="007A159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）</w:t>
            </w:r>
            <w:r w:rsidR="00FA1238" w:rsidRPr="0057256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为</w:t>
            </w:r>
            <w:r w:rsidR="00FA1238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纽约</w:t>
            </w:r>
            <w:r w:rsidR="00FA1238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FA1238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="00FA1238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FA1238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交易所、香港交易所</w:t>
            </w:r>
            <w:r w:rsidR="00FA1238" w:rsidRPr="0057256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交易日</w:t>
            </w:r>
          </w:p>
        </w:tc>
      </w:tr>
      <w:tr w:rsidR="00FA1238" w:rsidRPr="00572562" w:rsidTr="004B525F">
        <w:trPr>
          <w:trHeight w:val="540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人民币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美元现钞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美元现汇</w:t>
            </w:r>
          </w:p>
        </w:tc>
      </w:tr>
      <w:tr w:rsidR="00FA1238" w:rsidRPr="00572562" w:rsidTr="004B525F">
        <w:trPr>
          <w:trHeight w:val="52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000989</w:t>
            </w:r>
          </w:p>
        </w:tc>
      </w:tr>
      <w:tr w:rsidR="00FA1238" w:rsidRPr="00572562" w:rsidTr="004B525F">
        <w:trPr>
          <w:trHeight w:val="780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该分级基金是否暂停/恢复申购（赎回、定期定额投资）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6A39DA" w:rsidRPr="00572562" w:rsidRDefault="006A39DA" w:rsidP="006A39D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396"/>
      <w:r w:rsidRPr="0057256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 xml:space="preserve">2 </w:t>
      </w:r>
      <w:r w:rsidRPr="00572562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6A39DA" w:rsidRPr="00572562" w:rsidRDefault="00772677" w:rsidP="006A39DA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/>
          <w:color w:val="000000"/>
          <w:sz w:val="24"/>
        </w:rPr>
        <w:t>2023年10月24日</w:t>
      </w:r>
      <w:r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>
        <w:rPr>
          <w:rFonts w:asciiTheme="minorEastAsia" w:eastAsiaTheme="minorEastAsia" w:hAnsiTheme="minorEastAsia" w:cs="Arial"/>
          <w:color w:val="000000"/>
          <w:sz w:val="24"/>
        </w:rPr>
        <w:t>2023年10月24日</w:t>
      </w:r>
      <w:r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bookmarkStart w:id="2" w:name="_GoBack"/>
      <w:bookmarkEnd w:id="2"/>
      <w:r w:rsidR="006A39DA" w:rsidRPr="00572562">
        <w:rPr>
          <w:rFonts w:asciiTheme="minorEastAsia" w:eastAsiaTheme="minorEastAsia" w:hAnsiTheme="minorEastAsia"/>
          <w:color w:val="000000"/>
          <w:sz w:val="24"/>
        </w:rPr>
        <w:t>恢复</w:t>
      </w:r>
      <w:r w:rsidR="006A39DA" w:rsidRPr="00572562">
        <w:rPr>
          <w:rFonts w:asciiTheme="minorEastAsia" w:eastAsiaTheme="minorEastAsia" w:hAnsiTheme="minorEastAsia" w:hint="eastAsia"/>
          <w:color w:val="000000"/>
          <w:sz w:val="24"/>
        </w:rPr>
        <w:t>本基金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的日常</w:t>
      </w:r>
      <w:r w:rsidR="00A66E0D" w:rsidRPr="00572562">
        <w:rPr>
          <w:rFonts w:asciiTheme="minorEastAsia" w:eastAsiaTheme="minorEastAsia" w:hAnsiTheme="minorEastAsia" w:hint="eastAsia"/>
          <w:color w:val="000000"/>
          <w:sz w:val="24"/>
        </w:rPr>
        <w:t>申购（含</w:t>
      </w:r>
      <w:r w:rsidR="006A39DA" w:rsidRPr="00572562">
        <w:rPr>
          <w:rFonts w:asciiTheme="minorEastAsia" w:eastAsiaTheme="minorEastAsia" w:hAnsiTheme="minorEastAsia" w:hint="eastAsia"/>
          <w:color w:val="000000"/>
          <w:sz w:val="24"/>
        </w:rPr>
        <w:t>定投</w:t>
      </w:r>
      <w:r w:rsidR="00A66E0D" w:rsidRPr="00572562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、赎回</w:t>
      </w:r>
      <w:r w:rsidR="006A39DA"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453B0F" w:rsidRPr="00572562" w:rsidRDefault="006A39DA" w:rsidP="003729A0">
      <w:pPr>
        <w:spacing w:line="360" w:lineRule="auto"/>
        <w:ind w:firstLineChars="250" w:firstLine="60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投资者可登录</w:t>
      </w:r>
      <w:hyperlink r:id="rId8" w:tgtFrame="_blank" w:history="1"/>
      <w:hyperlink r:id="rId9" w:tgtFrame="_blank" w:history="1"/>
      <w:hyperlink r:id="rId10" w:history="1">
        <w:r w:rsidRPr="00572562">
          <w:rPr>
            <w:rFonts w:asciiTheme="minorEastAsia" w:eastAsiaTheme="minorEastAsia" w:hAnsiTheme="minorEastAsia" w:cs="Arial"/>
            <w:color w:val="000000"/>
            <w:kern w:val="0"/>
            <w:sz w:val="24"/>
          </w:rPr>
          <w:t>嘉实基金</w:t>
        </w:r>
      </w:hyperlink>
      <w:r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管理有限公司网站或拨打客户服务电话：400-600-8800咨询相关情况</w:t>
      </w:r>
      <w:r w:rsidR="00EC5873" w:rsidRPr="00572562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。</w:t>
      </w:r>
    </w:p>
    <w:bookmarkEnd w:id="1"/>
    <w:p w:rsidR="00F04919" w:rsidRPr="00572562" w:rsidRDefault="00F04919" w:rsidP="00EC5873">
      <w:pPr>
        <w:spacing w:line="360" w:lineRule="auto"/>
        <w:ind w:firstLineChars="250" w:firstLine="600"/>
        <w:rPr>
          <w:rFonts w:asciiTheme="minorEastAsia" w:eastAsiaTheme="minorEastAsia" w:hAnsiTheme="minorEastAsia" w:cs="Arial"/>
          <w:color w:val="000000"/>
          <w:kern w:val="0"/>
          <w:sz w:val="24"/>
        </w:rPr>
      </w:pPr>
    </w:p>
    <w:sectPr w:rsidR="00F04919" w:rsidRPr="00572562" w:rsidSect="007A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8C2" w:rsidRDefault="005828C2" w:rsidP="0009149F">
      <w:r>
        <w:separator/>
      </w:r>
    </w:p>
  </w:endnote>
  <w:endnote w:type="continuationSeparator" w:id="0">
    <w:p w:rsidR="005828C2" w:rsidRDefault="005828C2" w:rsidP="0009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8C2" w:rsidRDefault="005828C2" w:rsidP="0009149F">
      <w:r>
        <w:separator/>
      </w:r>
    </w:p>
  </w:footnote>
  <w:footnote w:type="continuationSeparator" w:id="0">
    <w:p w:rsidR="005828C2" w:rsidRDefault="005828C2" w:rsidP="00091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2C57"/>
    <w:multiLevelType w:val="multilevel"/>
    <w:tmpl w:val="3898A3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1687565"/>
    <w:multiLevelType w:val="hybridMultilevel"/>
    <w:tmpl w:val="937A1314"/>
    <w:lvl w:ilvl="0" w:tplc="DB06161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7" w:hanging="420"/>
      </w:pPr>
    </w:lvl>
    <w:lvl w:ilvl="2" w:tplc="0409001B" w:tentative="1">
      <w:start w:val="1"/>
      <w:numFmt w:val="lowerRoman"/>
      <w:lvlText w:val="%3."/>
      <w:lvlJc w:val="righ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9" w:tentative="1">
      <w:start w:val="1"/>
      <w:numFmt w:val="lowerLetter"/>
      <w:lvlText w:val="%5)"/>
      <w:lvlJc w:val="left"/>
      <w:pPr>
        <w:ind w:left="2507" w:hanging="420"/>
      </w:pPr>
    </w:lvl>
    <w:lvl w:ilvl="5" w:tplc="0409001B" w:tentative="1">
      <w:start w:val="1"/>
      <w:numFmt w:val="lowerRoman"/>
      <w:lvlText w:val="%6."/>
      <w:lvlJc w:val="righ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9" w:tentative="1">
      <w:start w:val="1"/>
      <w:numFmt w:val="lowerLetter"/>
      <w:lvlText w:val="%8)"/>
      <w:lvlJc w:val="left"/>
      <w:pPr>
        <w:ind w:left="3767" w:hanging="420"/>
      </w:pPr>
    </w:lvl>
    <w:lvl w:ilvl="8" w:tplc="0409001B" w:tentative="1">
      <w:start w:val="1"/>
      <w:numFmt w:val="lowerRoman"/>
      <w:lvlText w:val="%9."/>
      <w:lvlJc w:val="right"/>
      <w:pPr>
        <w:ind w:left="4187" w:hanging="420"/>
      </w:pPr>
    </w:lvl>
  </w:abstractNum>
  <w:abstractNum w:abstractNumId="2">
    <w:nsid w:val="7A137B93"/>
    <w:multiLevelType w:val="multilevel"/>
    <w:tmpl w:val="1658A9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49F"/>
    <w:rsid w:val="00001AF9"/>
    <w:rsid w:val="00001C9F"/>
    <w:rsid w:val="0000677F"/>
    <w:rsid w:val="000206F1"/>
    <w:rsid w:val="00021651"/>
    <w:rsid w:val="00044031"/>
    <w:rsid w:val="000440BF"/>
    <w:rsid w:val="00044731"/>
    <w:rsid w:val="00050B02"/>
    <w:rsid w:val="0005626E"/>
    <w:rsid w:val="0006075D"/>
    <w:rsid w:val="00064057"/>
    <w:rsid w:val="0009149F"/>
    <w:rsid w:val="00092538"/>
    <w:rsid w:val="00095866"/>
    <w:rsid w:val="000A06B7"/>
    <w:rsid w:val="000A5B22"/>
    <w:rsid w:val="000A5EB5"/>
    <w:rsid w:val="000B09CE"/>
    <w:rsid w:val="000C0F03"/>
    <w:rsid w:val="000C2634"/>
    <w:rsid w:val="000C76E1"/>
    <w:rsid w:val="000D4938"/>
    <w:rsid w:val="00105FA7"/>
    <w:rsid w:val="00114099"/>
    <w:rsid w:val="00125D67"/>
    <w:rsid w:val="0012722E"/>
    <w:rsid w:val="00134817"/>
    <w:rsid w:val="001421E9"/>
    <w:rsid w:val="00143C99"/>
    <w:rsid w:val="00144E1C"/>
    <w:rsid w:val="00153D92"/>
    <w:rsid w:val="00162327"/>
    <w:rsid w:val="001709EC"/>
    <w:rsid w:val="001715FD"/>
    <w:rsid w:val="00171BE6"/>
    <w:rsid w:val="0018189C"/>
    <w:rsid w:val="001829F8"/>
    <w:rsid w:val="00183CB5"/>
    <w:rsid w:val="001902B5"/>
    <w:rsid w:val="00191161"/>
    <w:rsid w:val="001A004A"/>
    <w:rsid w:val="001A690D"/>
    <w:rsid w:val="001B2D62"/>
    <w:rsid w:val="001B364D"/>
    <w:rsid w:val="001D2946"/>
    <w:rsid w:val="001E18C6"/>
    <w:rsid w:val="001E5E7E"/>
    <w:rsid w:val="001F413C"/>
    <w:rsid w:val="00200A16"/>
    <w:rsid w:val="00217BB3"/>
    <w:rsid w:val="00223864"/>
    <w:rsid w:val="00225B75"/>
    <w:rsid w:val="00226D95"/>
    <w:rsid w:val="00234B9D"/>
    <w:rsid w:val="00241177"/>
    <w:rsid w:val="00256E3F"/>
    <w:rsid w:val="002662DB"/>
    <w:rsid w:val="002718CB"/>
    <w:rsid w:val="0027255C"/>
    <w:rsid w:val="00291699"/>
    <w:rsid w:val="0029526A"/>
    <w:rsid w:val="002A1C54"/>
    <w:rsid w:val="002A2DE5"/>
    <w:rsid w:val="002A4C33"/>
    <w:rsid w:val="002B2C07"/>
    <w:rsid w:val="002B74CD"/>
    <w:rsid w:val="002C40D8"/>
    <w:rsid w:val="002D1FE1"/>
    <w:rsid w:val="002E0176"/>
    <w:rsid w:val="002E2F55"/>
    <w:rsid w:val="002E6A03"/>
    <w:rsid w:val="002E71BF"/>
    <w:rsid w:val="002F094C"/>
    <w:rsid w:val="00302776"/>
    <w:rsid w:val="00302B59"/>
    <w:rsid w:val="00304C0F"/>
    <w:rsid w:val="00313F81"/>
    <w:rsid w:val="003229A9"/>
    <w:rsid w:val="0032350A"/>
    <w:rsid w:val="0032680E"/>
    <w:rsid w:val="00332E6D"/>
    <w:rsid w:val="003365D1"/>
    <w:rsid w:val="00347E0F"/>
    <w:rsid w:val="00352226"/>
    <w:rsid w:val="003532AB"/>
    <w:rsid w:val="0035333C"/>
    <w:rsid w:val="00353643"/>
    <w:rsid w:val="00363B1E"/>
    <w:rsid w:val="00367149"/>
    <w:rsid w:val="003729A0"/>
    <w:rsid w:val="00381D11"/>
    <w:rsid w:val="00382BA6"/>
    <w:rsid w:val="0038669D"/>
    <w:rsid w:val="00387803"/>
    <w:rsid w:val="003953EE"/>
    <w:rsid w:val="003A16F0"/>
    <w:rsid w:val="003A3E19"/>
    <w:rsid w:val="003B3766"/>
    <w:rsid w:val="003B48E9"/>
    <w:rsid w:val="003B4E08"/>
    <w:rsid w:val="003B68D2"/>
    <w:rsid w:val="003C13A2"/>
    <w:rsid w:val="003C4686"/>
    <w:rsid w:val="003D2F07"/>
    <w:rsid w:val="003D7421"/>
    <w:rsid w:val="003E7457"/>
    <w:rsid w:val="003F0254"/>
    <w:rsid w:val="00402CA5"/>
    <w:rsid w:val="00404929"/>
    <w:rsid w:val="00412FE7"/>
    <w:rsid w:val="00416A8B"/>
    <w:rsid w:val="00433057"/>
    <w:rsid w:val="004379D4"/>
    <w:rsid w:val="00450000"/>
    <w:rsid w:val="00453B0F"/>
    <w:rsid w:val="004672C3"/>
    <w:rsid w:val="00471083"/>
    <w:rsid w:val="00487542"/>
    <w:rsid w:val="004932CC"/>
    <w:rsid w:val="00494ECA"/>
    <w:rsid w:val="00495B2C"/>
    <w:rsid w:val="004967BF"/>
    <w:rsid w:val="004B3E61"/>
    <w:rsid w:val="004B525F"/>
    <w:rsid w:val="004C10FC"/>
    <w:rsid w:val="004C2566"/>
    <w:rsid w:val="004C7C4D"/>
    <w:rsid w:val="004D4811"/>
    <w:rsid w:val="004E3BA7"/>
    <w:rsid w:val="004E3F0F"/>
    <w:rsid w:val="004F1E3C"/>
    <w:rsid w:val="004F2FB6"/>
    <w:rsid w:val="004F39E7"/>
    <w:rsid w:val="0050739B"/>
    <w:rsid w:val="005200F8"/>
    <w:rsid w:val="00525187"/>
    <w:rsid w:val="00532E7D"/>
    <w:rsid w:val="00545EA0"/>
    <w:rsid w:val="00564E44"/>
    <w:rsid w:val="00566DEA"/>
    <w:rsid w:val="00572377"/>
    <w:rsid w:val="00572562"/>
    <w:rsid w:val="005828C2"/>
    <w:rsid w:val="0059545C"/>
    <w:rsid w:val="0059680F"/>
    <w:rsid w:val="005A6BD7"/>
    <w:rsid w:val="005C22A0"/>
    <w:rsid w:val="005C7CE9"/>
    <w:rsid w:val="005D0CB6"/>
    <w:rsid w:val="005D2D19"/>
    <w:rsid w:val="005E4D4C"/>
    <w:rsid w:val="005E5B2F"/>
    <w:rsid w:val="005F15A1"/>
    <w:rsid w:val="005F2617"/>
    <w:rsid w:val="005F43FE"/>
    <w:rsid w:val="00605129"/>
    <w:rsid w:val="00611DAC"/>
    <w:rsid w:val="00611F39"/>
    <w:rsid w:val="006237BF"/>
    <w:rsid w:val="0062773D"/>
    <w:rsid w:val="00632023"/>
    <w:rsid w:val="00634826"/>
    <w:rsid w:val="00644AC6"/>
    <w:rsid w:val="00645B09"/>
    <w:rsid w:val="006543C3"/>
    <w:rsid w:val="006547D6"/>
    <w:rsid w:val="006554DA"/>
    <w:rsid w:val="00657562"/>
    <w:rsid w:val="00657575"/>
    <w:rsid w:val="00673604"/>
    <w:rsid w:val="006851DE"/>
    <w:rsid w:val="00686E3A"/>
    <w:rsid w:val="00687009"/>
    <w:rsid w:val="006A39DA"/>
    <w:rsid w:val="006A70CA"/>
    <w:rsid w:val="006B4AEC"/>
    <w:rsid w:val="006C41C7"/>
    <w:rsid w:val="006C5E7E"/>
    <w:rsid w:val="006C7AE0"/>
    <w:rsid w:val="006C7FCD"/>
    <w:rsid w:val="006E1652"/>
    <w:rsid w:val="006E49AC"/>
    <w:rsid w:val="00715959"/>
    <w:rsid w:val="007172FB"/>
    <w:rsid w:val="007173AB"/>
    <w:rsid w:val="0072429E"/>
    <w:rsid w:val="00736396"/>
    <w:rsid w:val="00736F7D"/>
    <w:rsid w:val="0075042C"/>
    <w:rsid w:val="00756DA6"/>
    <w:rsid w:val="0075782B"/>
    <w:rsid w:val="00772677"/>
    <w:rsid w:val="007728F0"/>
    <w:rsid w:val="00782C1E"/>
    <w:rsid w:val="00792104"/>
    <w:rsid w:val="007925B6"/>
    <w:rsid w:val="00793170"/>
    <w:rsid w:val="007933BF"/>
    <w:rsid w:val="007947AD"/>
    <w:rsid w:val="00795330"/>
    <w:rsid w:val="00795822"/>
    <w:rsid w:val="007A1599"/>
    <w:rsid w:val="007A26A7"/>
    <w:rsid w:val="007A3DAA"/>
    <w:rsid w:val="007A56DD"/>
    <w:rsid w:val="007A5A10"/>
    <w:rsid w:val="007B14FF"/>
    <w:rsid w:val="007B4274"/>
    <w:rsid w:val="007B5E8B"/>
    <w:rsid w:val="007C3D5E"/>
    <w:rsid w:val="007D31BD"/>
    <w:rsid w:val="007F0099"/>
    <w:rsid w:val="007F3978"/>
    <w:rsid w:val="008005F2"/>
    <w:rsid w:val="00806D9C"/>
    <w:rsid w:val="00807112"/>
    <w:rsid w:val="00812C75"/>
    <w:rsid w:val="00831DD3"/>
    <w:rsid w:val="00840133"/>
    <w:rsid w:val="00841F4B"/>
    <w:rsid w:val="008513F5"/>
    <w:rsid w:val="00851ED8"/>
    <w:rsid w:val="00854145"/>
    <w:rsid w:val="008544B6"/>
    <w:rsid w:val="0085454D"/>
    <w:rsid w:val="00854570"/>
    <w:rsid w:val="00857E8C"/>
    <w:rsid w:val="0087135C"/>
    <w:rsid w:val="008866D2"/>
    <w:rsid w:val="008A5033"/>
    <w:rsid w:val="008A5BBD"/>
    <w:rsid w:val="008A624B"/>
    <w:rsid w:val="008A719E"/>
    <w:rsid w:val="008C26F8"/>
    <w:rsid w:val="008C4A17"/>
    <w:rsid w:val="008E6794"/>
    <w:rsid w:val="008F1A4E"/>
    <w:rsid w:val="009029F0"/>
    <w:rsid w:val="00905007"/>
    <w:rsid w:val="00906A4D"/>
    <w:rsid w:val="00917C31"/>
    <w:rsid w:val="009269AA"/>
    <w:rsid w:val="009410FC"/>
    <w:rsid w:val="00942C25"/>
    <w:rsid w:val="00952C6F"/>
    <w:rsid w:val="00961A4B"/>
    <w:rsid w:val="00961AE9"/>
    <w:rsid w:val="009632DD"/>
    <w:rsid w:val="00967AC8"/>
    <w:rsid w:val="009744F6"/>
    <w:rsid w:val="009753B5"/>
    <w:rsid w:val="00985279"/>
    <w:rsid w:val="0099595C"/>
    <w:rsid w:val="009970A5"/>
    <w:rsid w:val="009A1827"/>
    <w:rsid w:val="009A5481"/>
    <w:rsid w:val="009B37E2"/>
    <w:rsid w:val="009C252F"/>
    <w:rsid w:val="009F007E"/>
    <w:rsid w:val="009F12EB"/>
    <w:rsid w:val="009F20D2"/>
    <w:rsid w:val="009F27D6"/>
    <w:rsid w:val="009F6920"/>
    <w:rsid w:val="00A015FB"/>
    <w:rsid w:val="00A11969"/>
    <w:rsid w:val="00A249B4"/>
    <w:rsid w:val="00A27550"/>
    <w:rsid w:val="00A4123C"/>
    <w:rsid w:val="00A42714"/>
    <w:rsid w:val="00A43032"/>
    <w:rsid w:val="00A45A0E"/>
    <w:rsid w:val="00A66E0D"/>
    <w:rsid w:val="00A803A5"/>
    <w:rsid w:val="00A80DFA"/>
    <w:rsid w:val="00A93736"/>
    <w:rsid w:val="00A96DD1"/>
    <w:rsid w:val="00AA79C5"/>
    <w:rsid w:val="00AC1F23"/>
    <w:rsid w:val="00AC5AF8"/>
    <w:rsid w:val="00AC73DC"/>
    <w:rsid w:val="00AD1808"/>
    <w:rsid w:val="00AD65A6"/>
    <w:rsid w:val="00AD6F07"/>
    <w:rsid w:val="00AE56E3"/>
    <w:rsid w:val="00AF201A"/>
    <w:rsid w:val="00AF274D"/>
    <w:rsid w:val="00AF3A81"/>
    <w:rsid w:val="00B0434C"/>
    <w:rsid w:val="00B14C3C"/>
    <w:rsid w:val="00B16BAD"/>
    <w:rsid w:val="00B25039"/>
    <w:rsid w:val="00B44105"/>
    <w:rsid w:val="00B475EF"/>
    <w:rsid w:val="00B51251"/>
    <w:rsid w:val="00B545BC"/>
    <w:rsid w:val="00B55C32"/>
    <w:rsid w:val="00B601FF"/>
    <w:rsid w:val="00B60733"/>
    <w:rsid w:val="00B7143F"/>
    <w:rsid w:val="00B71E70"/>
    <w:rsid w:val="00B740C7"/>
    <w:rsid w:val="00B81586"/>
    <w:rsid w:val="00BA1A8C"/>
    <w:rsid w:val="00BA31BA"/>
    <w:rsid w:val="00BA39DB"/>
    <w:rsid w:val="00BA5D33"/>
    <w:rsid w:val="00BC29BE"/>
    <w:rsid w:val="00BC3A1F"/>
    <w:rsid w:val="00BC3BA8"/>
    <w:rsid w:val="00BD3FF6"/>
    <w:rsid w:val="00BE1599"/>
    <w:rsid w:val="00BF7B44"/>
    <w:rsid w:val="00C01FF5"/>
    <w:rsid w:val="00C03178"/>
    <w:rsid w:val="00C17834"/>
    <w:rsid w:val="00C44675"/>
    <w:rsid w:val="00C46727"/>
    <w:rsid w:val="00C548A3"/>
    <w:rsid w:val="00C576E5"/>
    <w:rsid w:val="00C644F7"/>
    <w:rsid w:val="00C645D9"/>
    <w:rsid w:val="00C72419"/>
    <w:rsid w:val="00C7262D"/>
    <w:rsid w:val="00C81F43"/>
    <w:rsid w:val="00C83FB9"/>
    <w:rsid w:val="00C93ACA"/>
    <w:rsid w:val="00C97366"/>
    <w:rsid w:val="00CA0590"/>
    <w:rsid w:val="00CA6149"/>
    <w:rsid w:val="00CB2CE4"/>
    <w:rsid w:val="00CB3C95"/>
    <w:rsid w:val="00CB4020"/>
    <w:rsid w:val="00CC1F22"/>
    <w:rsid w:val="00CC35BC"/>
    <w:rsid w:val="00CC677F"/>
    <w:rsid w:val="00CC7359"/>
    <w:rsid w:val="00CD00E6"/>
    <w:rsid w:val="00CD0666"/>
    <w:rsid w:val="00CD1871"/>
    <w:rsid w:val="00CD239A"/>
    <w:rsid w:val="00CD61CC"/>
    <w:rsid w:val="00CE1ABD"/>
    <w:rsid w:val="00D06CC8"/>
    <w:rsid w:val="00D06EFB"/>
    <w:rsid w:val="00D12472"/>
    <w:rsid w:val="00D12D14"/>
    <w:rsid w:val="00D15467"/>
    <w:rsid w:val="00D15B44"/>
    <w:rsid w:val="00D26DFE"/>
    <w:rsid w:val="00D270FF"/>
    <w:rsid w:val="00D31FC6"/>
    <w:rsid w:val="00D3233B"/>
    <w:rsid w:val="00D56DB8"/>
    <w:rsid w:val="00D61C9F"/>
    <w:rsid w:val="00D74CB1"/>
    <w:rsid w:val="00D833DD"/>
    <w:rsid w:val="00D86DBE"/>
    <w:rsid w:val="00D8723E"/>
    <w:rsid w:val="00DB1D4A"/>
    <w:rsid w:val="00DB308C"/>
    <w:rsid w:val="00DB79B2"/>
    <w:rsid w:val="00DC2CA1"/>
    <w:rsid w:val="00DC78ED"/>
    <w:rsid w:val="00DD41DA"/>
    <w:rsid w:val="00DE3764"/>
    <w:rsid w:val="00DE3B1A"/>
    <w:rsid w:val="00DF0527"/>
    <w:rsid w:val="00DF2B21"/>
    <w:rsid w:val="00DF2BD1"/>
    <w:rsid w:val="00E06211"/>
    <w:rsid w:val="00E07623"/>
    <w:rsid w:val="00E10D7E"/>
    <w:rsid w:val="00E1610C"/>
    <w:rsid w:val="00E23529"/>
    <w:rsid w:val="00E40070"/>
    <w:rsid w:val="00E4469D"/>
    <w:rsid w:val="00E511D7"/>
    <w:rsid w:val="00E8011A"/>
    <w:rsid w:val="00E9771A"/>
    <w:rsid w:val="00EA1435"/>
    <w:rsid w:val="00EA6B91"/>
    <w:rsid w:val="00EA6C7F"/>
    <w:rsid w:val="00EB51CA"/>
    <w:rsid w:val="00EB6FE7"/>
    <w:rsid w:val="00EC46EB"/>
    <w:rsid w:val="00EC5873"/>
    <w:rsid w:val="00ED1840"/>
    <w:rsid w:val="00ED2F10"/>
    <w:rsid w:val="00EE18C8"/>
    <w:rsid w:val="00EE2514"/>
    <w:rsid w:val="00EE3597"/>
    <w:rsid w:val="00EF1D86"/>
    <w:rsid w:val="00EF475B"/>
    <w:rsid w:val="00EF6163"/>
    <w:rsid w:val="00EF7859"/>
    <w:rsid w:val="00F04919"/>
    <w:rsid w:val="00F10DD1"/>
    <w:rsid w:val="00F1453E"/>
    <w:rsid w:val="00F16F08"/>
    <w:rsid w:val="00F212B3"/>
    <w:rsid w:val="00F261A1"/>
    <w:rsid w:val="00F315AA"/>
    <w:rsid w:val="00F3445A"/>
    <w:rsid w:val="00F36DD9"/>
    <w:rsid w:val="00F44596"/>
    <w:rsid w:val="00F53806"/>
    <w:rsid w:val="00F63686"/>
    <w:rsid w:val="00F6478D"/>
    <w:rsid w:val="00F72B8A"/>
    <w:rsid w:val="00F82E5B"/>
    <w:rsid w:val="00FA1238"/>
    <w:rsid w:val="00FA6372"/>
    <w:rsid w:val="00FA6A68"/>
    <w:rsid w:val="00FB160C"/>
    <w:rsid w:val="00FB3636"/>
    <w:rsid w:val="00FB4397"/>
    <w:rsid w:val="00FB4AB9"/>
    <w:rsid w:val="00FB56E2"/>
    <w:rsid w:val="00FB6856"/>
    <w:rsid w:val="00FC057D"/>
    <w:rsid w:val="00FD1468"/>
    <w:rsid w:val="00FF0DA0"/>
    <w:rsid w:val="00FF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9F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B3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9149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5B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9149F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9149F"/>
    <w:rPr>
      <w:vertAlign w:val="superscript"/>
    </w:rPr>
  </w:style>
  <w:style w:type="paragraph" w:styleId="a4">
    <w:name w:val="footnote text"/>
    <w:basedOn w:val="a"/>
    <w:link w:val="Char"/>
    <w:rsid w:val="0009149F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9149F"/>
    <w:rPr>
      <w:rFonts w:ascii="Times New Roman" w:eastAsia="宋体" w:hAnsi="Times New Roman" w:cs="Times New Roman"/>
      <w:sz w:val="18"/>
      <w:szCs w:val="20"/>
    </w:rPr>
  </w:style>
  <w:style w:type="paragraph" w:customStyle="1" w:styleId="Default">
    <w:name w:val="Default"/>
    <w:rsid w:val="00F16F0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16F08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16F08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16F08"/>
    <w:rPr>
      <w:rFonts w:ascii="Times New Roman" w:eastAsia="方正仿宋简体" w:hAnsi="Times New Roman" w:cs="Times New Roman"/>
      <w:sz w:val="32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16F08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16F08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F16F0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6F08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B55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B55C32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B55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B55C32"/>
    <w:rPr>
      <w:rFonts w:ascii="Times New Roman" w:eastAsia="方正仿宋简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93736"/>
    <w:pPr>
      <w:ind w:firstLineChars="200" w:firstLine="420"/>
    </w:pPr>
  </w:style>
  <w:style w:type="character" w:customStyle="1" w:styleId="7Char">
    <w:name w:val="标题 7 Char"/>
    <w:basedOn w:val="a0"/>
    <w:link w:val="7"/>
    <w:rsid w:val="00B545BC"/>
    <w:rPr>
      <w:rFonts w:ascii="Times New Roman" w:eastAsia="方正仿宋简体" w:hAnsi="Times New Roman" w:cs="Times New Roman"/>
      <w:b/>
      <w:bCs/>
      <w:sz w:val="24"/>
      <w:szCs w:val="24"/>
    </w:rPr>
  </w:style>
  <w:style w:type="paragraph" w:styleId="ac">
    <w:name w:val="Revision"/>
    <w:hidden/>
    <w:uiPriority w:val="99"/>
    <w:semiHidden/>
    <w:rsid w:val="00736396"/>
    <w:rPr>
      <w:rFonts w:ascii="Times New Roman" w:eastAsia="方正仿宋简体" w:hAnsi="Times New Roman" w:cs="Times New Roman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9B37E2"/>
    <w:rPr>
      <w:rFonts w:ascii="Times New Roman" w:eastAsia="方正仿宋简体" w:hAnsi="Times New Roman" w:cs="Times New Roman"/>
      <w:b/>
      <w:bCs/>
      <w:kern w:val="44"/>
      <w:sz w:val="44"/>
      <w:szCs w:val="44"/>
    </w:rPr>
  </w:style>
  <w:style w:type="character" w:styleId="ad">
    <w:name w:val="Hyperlink"/>
    <w:basedOn w:val="a0"/>
    <w:rsid w:val="006A39D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22025;&#23454;&#22522;&#373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fund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DC88-608B-49F5-AC66-95CCB3F8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4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2011-09-06T06:39:00Z</cp:lastPrinted>
  <dcterms:created xsi:type="dcterms:W3CDTF">2023-10-18T16:01:00Z</dcterms:created>
  <dcterms:modified xsi:type="dcterms:W3CDTF">2023-10-18T16:01:00Z</dcterms:modified>
</cp:coreProperties>
</file>