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43F" w:rsidRDefault="00796922">
      <w:pPr>
        <w:spacing w:line="500" w:lineRule="exact"/>
        <w:jc w:val="center"/>
        <w:rPr>
          <w:rFonts w:ascii="黑体" w:eastAsia="黑体" w:hAnsi="黑体"/>
          <w:sz w:val="30"/>
          <w:szCs w:val="30"/>
        </w:rPr>
      </w:pPr>
      <w:r>
        <w:rPr>
          <w:rFonts w:ascii="黑体" w:eastAsia="黑体" w:hAnsi="黑体" w:hint="eastAsia"/>
          <w:sz w:val="30"/>
          <w:szCs w:val="30"/>
        </w:rPr>
        <w:t>申万菱信基金管理有限公司</w:t>
      </w:r>
    </w:p>
    <w:p w:rsidR="006E443F" w:rsidRDefault="00796922" w:rsidP="00796922">
      <w:pPr>
        <w:spacing w:afterLines="50" w:line="500" w:lineRule="exact"/>
        <w:jc w:val="center"/>
        <w:rPr>
          <w:rFonts w:ascii="黑体" w:eastAsia="黑体" w:hAnsi="黑体"/>
          <w:sz w:val="30"/>
          <w:szCs w:val="30"/>
        </w:rPr>
      </w:pPr>
      <w:r>
        <w:rPr>
          <w:rFonts w:ascii="黑体" w:eastAsia="黑体" w:hAnsi="黑体" w:hint="eastAsia"/>
          <w:sz w:val="30"/>
          <w:szCs w:val="30"/>
        </w:rPr>
        <w:t>关于旗下部分基金新增代销机构的公告</w:t>
      </w:r>
    </w:p>
    <w:p w:rsidR="006E443F" w:rsidRDefault="00796922">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为满足广大投资者的理财需求，经申万菱信基金管理有限公司（以下简称“本公司”）与</w:t>
      </w:r>
      <w:r>
        <w:rPr>
          <w:rFonts w:ascii="仿宋" w:eastAsia="仿宋" w:hAnsi="仿宋" w:cs="仿宋" w:hint="eastAsia"/>
          <w:sz w:val="24"/>
          <w:szCs w:val="24"/>
        </w:rPr>
        <w:t>部分代销机构</w:t>
      </w:r>
      <w:r>
        <w:rPr>
          <w:rFonts w:ascii="仿宋" w:eastAsia="仿宋" w:hAnsi="仿宋" w:cs="仿宋" w:hint="eastAsia"/>
          <w:sz w:val="24"/>
          <w:szCs w:val="24"/>
        </w:rPr>
        <w:t>协商一致，本公司旗下部分基金新增代销机构，详情如下：</w:t>
      </w:r>
    </w:p>
    <w:p w:rsidR="006E443F" w:rsidRDefault="00796922">
      <w:pPr>
        <w:pStyle w:val="ab"/>
        <w:numPr>
          <w:ilvl w:val="0"/>
          <w:numId w:val="1"/>
        </w:numPr>
        <w:spacing w:line="500" w:lineRule="exact"/>
        <w:ind w:left="0" w:firstLine="480"/>
        <w:rPr>
          <w:rFonts w:ascii="仿宋" w:eastAsia="仿宋" w:hAnsi="仿宋" w:cs="仿宋"/>
          <w:sz w:val="24"/>
          <w:szCs w:val="24"/>
        </w:rPr>
      </w:pPr>
      <w:r>
        <w:rPr>
          <w:rFonts w:ascii="仿宋" w:eastAsia="仿宋" w:hAnsi="仿宋" w:cs="仿宋" w:hint="eastAsia"/>
          <w:sz w:val="24"/>
          <w:szCs w:val="24"/>
        </w:rPr>
        <w:t>适用基金范围</w:t>
      </w:r>
    </w:p>
    <w:p w:rsidR="006E443F" w:rsidRDefault="00796922">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sz w:val="24"/>
          <w:szCs w:val="24"/>
        </w:rPr>
        <w:t>202</w:t>
      </w:r>
      <w:r>
        <w:rPr>
          <w:rFonts w:ascii="仿宋" w:eastAsia="仿宋" w:hAnsi="仿宋" w:cs="仿宋" w:hint="eastAsia"/>
          <w:sz w:val="24"/>
          <w:szCs w:val="24"/>
        </w:rPr>
        <w:t>3</w:t>
      </w:r>
      <w:r>
        <w:rPr>
          <w:rFonts w:ascii="仿宋" w:eastAsia="仿宋" w:hAnsi="仿宋" w:cs="仿宋" w:hint="eastAsia"/>
          <w:sz w:val="24"/>
          <w:szCs w:val="24"/>
        </w:rPr>
        <w:t>年</w:t>
      </w:r>
      <w:r>
        <w:rPr>
          <w:rFonts w:ascii="仿宋" w:eastAsia="仿宋" w:hAnsi="仿宋" w:cs="仿宋" w:hint="eastAsia"/>
          <w:sz w:val="24"/>
          <w:szCs w:val="24"/>
        </w:rPr>
        <w:t>10</w:t>
      </w:r>
      <w:r>
        <w:rPr>
          <w:rFonts w:ascii="仿宋" w:eastAsia="仿宋" w:hAnsi="仿宋" w:cs="仿宋" w:hint="eastAsia"/>
          <w:sz w:val="24"/>
          <w:szCs w:val="24"/>
        </w:rPr>
        <w:t>月</w:t>
      </w:r>
      <w:r>
        <w:rPr>
          <w:rFonts w:ascii="仿宋" w:eastAsia="仿宋" w:hAnsi="仿宋" w:cs="仿宋" w:hint="eastAsia"/>
          <w:sz w:val="24"/>
          <w:szCs w:val="24"/>
        </w:rPr>
        <w:t>18</w:t>
      </w:r>
      <w:r>
        <w:rPr>
          <w:rFonts w:ascii="仿宋" w:eastAsia="仿宋" w:hAnsi="仿宋" w:cs="仿宋" w:hint="eastAsia"/>
          <w:sz w:val="24"/>
          <w:szCs w:val="24"/>
        </w:rPr>
        <w:t>日起，投资者可通过</w:t>
      </w:r>
      <w:r>
        <w:rPr>
          <w:rFonts w:ascii="仿宋" w:eastAsia="仿宋" w:hAnsi="仿宋" w:cs="仿宋" w:hint="eastAsia"/>
          <w:sz w:val="24"/>
          <w:szCs w:val="24"/>
        </w:rPr>
        <w:t>中国中金财富证券有限公司（简称“中金财富证券”）</w:t>
      </w:r>
      <w:r>
        <w:rPr>
          <w:rFonts w:ascii="仿宋" w:eastAsia="仿宋" w:hAnsi="仿宋" w:cs="仿宋" w:hint="eastAsia"/>
          <w:sz w:val="24"/>
          <w:szCs w:val="24"/>
        </w:rPr>
        <w:t>办理</w:t>
      </w:r>
      <w:r>
        <w:rPr>
          <w:rFonts w:ascii="仿宋" w:eastAsia="仿宋" w:hAnsi="仿宋" w:cs="仿宋" w:hint="eastAsia"/>
          <w:sz w:val="24"/>
          <w:szCs w:val="24"/>
        </w:rPr>
        <w:t>下表所列基金产品的开户、申购、赎回等</w:t>
      </w:r>
      <w:r>
        <w:rPr>
          <w:rFonts w:ascii="仿宋" w:eastAsia="仿宋" w:hAnsi="仿宋" w:cs="仿宋" w:hint="eastAsia"/>
          <w:sz w:val="24"/>
          <w:szCs w:val="24"/>
        </w:rPr>
        <w:t>相关业务</w:t>
      </w:r>
      <w:r>
        <w:rPr>
          <w:rFonts w:ascii="仿宋" w:eastAsia="仿宋" w:hAnsi="仿宋" w:cs="仿宋" w:hint="eastAsia"/>
          <w:sz w:val="24"/>
          <w:szCs w:val="24"/>
        </w:rPr>
        <w:t>。</w:t>
      </w:r>
    </w:p>
    <w:tbl>
      <w:tblPr>
        <w:tblW w:w="5000" w:type="pct"/>
        <w:shd w:val="clear" w:color="auto" w:fill="FFFFFF" w:themeFill="background1"/>
        <w:tblLayout w:type="fixed"/>
        <w:tblLook w:val="04A0"/>
      </w:tblPr>
      <w:tblGrid>
        <w:gridCol w:w="1209"/>
        <w:gridCol w:w="6359"/>
        <w:gridCol w:w="954"/>
      </w:tblGrid>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基金代码</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基金名称</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TA</w:t>
            </w:r>
            <w:r>
              <w:rPr>
                <w:rFonts w:ascii="仿宋" w:eastAsia="仿宋" w:hAnsi="仿宋" w:cs="仿宋" w:hint="eastAsia"/>
                <w:color w:val="000000"/>
                <w:kern w:val="0"/>
                <w:sz w:val="22"/>
                <w:lang/>
              </w:rPr>
              <w:t>类别</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006609</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申万菱信安泰瑞利中短债债券型证券投资基金</w:t>
            </w:r>
            <w:r>
              <w:rPr>
                <w:rFonts w:ascii="仿宋" w:eastAsia="仿宋" w:hAnsi="仿宋" w:cs="仿宋" w:hint="eastAsia"/>
                <w:color w:val="000000"/>
                <w:kern w:val="0"/>
                <w:sz w:val="22"/>
                <w:lang/>
              </w:rPr>
              <w:t>A</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007240</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申万菱信安泰瑞利中短债债券型证券投资基金</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007800</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申万菱信沪深</w:t>
            </w:r>
            <w:r>
              <w:rPr>
                <w:rFonts w:ascii="仿宋" w:eastAsia="仿宋" w:hAnsi="仿宋" w:cs="仿宋" w:hint="eastAsia"/>
                <w:color w:val="000000"/>
                <w:kern w:val="0"/>
                <w:sz w:val="22"/>
                <w:lang/>
              </w:rPr>
              <w:t>300</w:t>
            </w:r>
            <w:r>
              <w:rPr>
                <w:rFonts w:ascii="仿宋" w:eastAsia="仿宋" w:hAnsi="仿宋" w:cs="仿宋" w:hint="eastAsia"/>
                <w:color w:val="000000"/>
                <w:kern w:val="0"/>
                <w:sz w:val="22"/>
                <w:lang/>
              </w:rPr>
              <w:t>价值指数证券投资基金</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007804</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申万菱信沪深</w:t>
            </w:r>
            <w:r>
              <w:rPr>
                <w:rFonts w:ascii="仿宋" w:eastAsia="仿宋" w:hAnsi="仿宋" w:cs="仿宋" w:hint="eastAsia"/>
                <w:color w:val="000000"/>
                <w:kern w:val="0"/>
                <w:sz w:val="22"/>
                <w:lang/>
              </w:rPr>
              <w:t>300</w:t>
            </w:r>
            <w:r>
              <w:rPr>
                <w:rFonts w:ascii="仿宋" w:eastAsia="仿宋" w:hAnsi="仿宋" w:cs="仿宋" w:hint="eastAsia"/>
                <w:color w:val="000000"/>
                <w:kern w:val="0"/>
                <w:sz w:val="22"/>
                <w:lang/>
              </w:rPr>
              <w:t>指数增强型证券投资基金</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013918</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申万菱信量化小盘股票型证券投资基金（</w:t>
            </w:r>
            <w:r>
              <w:rPr>
                <w:rFonts w:ascii="仿宋" w:eastAsia="仿宋" w:hAnsi="仿宋" w:cs="仿宋" w:hint="eastAsia"/>
                <w:color w:val="000000"/>
                <w:kern w:val="0"/>
                <w:sz w:val="22"/>
                <w:lang/>
              </w:rPr>
              <w:t>LOF</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中登</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015177</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申万菱信深证成份指数型证券投资基金</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中登</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016105</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申万菱信兴乐优选混合型证券投资基金</w:t>
            </w:r>
            <w:r>
              <w:rPr>
                <w:rFonts w:ascii="仿宋" w:eastAsia="仿宋" w:hAnsi="仿宋" w:cs="仿宋" w:hint="eastAsia"/>
                <w:color w:val="000000"/>
                <w:kern w:val="0"/>
                <w:sz w:val="22"/>
                <w:lang/>
              </w:rPr>
              <w:t>A</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lastRenderedPageBreak/>
              <w:t>016106</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申万菱信兴乐优选混合型证券投资基金</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007799</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申万菱信中小企业</w:t>
            </w:r>
            <w:r>
              <w:rPr>
                <w:rFonts w:ascii="仿宋" w:eastAsia="仿宋" w:hAnsi="仿宋" w:cs="仿宋" w:hint="eastAsia"/>
                <w:color w:val="000000"/>
                <w:kern w:val="0"/>
                <w:sz w:val="22"/>
                <w:lang/>
              </w:rPr>
              <w:t>100</w:t>
            </w:r>
            <w:r>
              <w:rPr>
                <w:rFonts w:ascii="仿宋" w:eastAsia="仿宋" w:hAnsi="仿宋" w:cs="仿宋" w:hint="eastAsia"/>
                <w:color w:val="000000"/>
                <w:kern w:val="0"/>
                <w:sz w:val="22"/>
                <w:lang/>
              </w:rPr>
              <w:t>指数证券投资基金（</w:t>
            </w:r>
            <w:r>
              <w:rPr>
                <w:rFonts w:ascii="仿宋" w:eastAsia="仿宋" w:hAnsi="仿宋" w:cs="仿宋" w:hint="eastAsia"/>
                <w:color w:val="000000"/>
                <w:kern w:val="0"/>
                <w:sz w:val="22"/>
                <w:lang/>
              </w:rPr>
              <w:t>LOF</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中登</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007794</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w:t>
            </w:r>
            <w:r>
              <w:rPr>
                <w:rFonts w:ascii="仿宋" w:eastAsia="仿宋" w:hAnsi="仿宋" w:cs="仿宋" w:hint="eastAsia"/>
                <w:color w:val="000000"/>
                <w:kern w:val="0"/>
                <w:sz w:val="22"/>
                <w:lang/>
              </w:rPr>
              <w:t>500</w:t>
            </w:r>
            <w:r>
              <w:rPr>
                <w:rFonts w:ascii="仿宋" w:eastAsia="仿宋" w:hAnsi="仿宋" w:cs="仿宋" w:hint="eastAsia"/>
                <w:color w:val="000000"/>
                <w:kern w:val="0"/>
                <w:sz w:val="22"/>
                <w:lang/>
              </w:rPr>
              <w:t>指数优选增强型证券投资基金</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007795</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w:t>
            </w:r>
            <w:r>
              <w:rPr>
                <w:rFonts w:ascii="仿宋" w:eastAsia="仿宋" w:hAnsi="仿宋" w:cs="仿宋" w:hint="eastAsia"/>
                <w:color w:val="000000"/>
                <w:kern w:val="0"/>
                <w:sz w:val="22"/>
                <w:lang/>
              </w:rPr>
              <w:t>500</w:t>
            </w:r>
            <w:r>
              <w:rPr>
                <w:rFonts w:ascii="仿宋" w:eastAsia="仿宋" w:hAnsi="仿宋" w:cs="仿宋" w:hint="eastAsia"/>
                <w:color w:val="000000"/>
                <w:kern w:val="0"/>
                <w:sz w:val="22"/>
                <w:lang/>
              </w:rPr>
              <w:t>指数增强型证券投资基金</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010419</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申万菱信中证环保产业指数型证券投资基金（</w:t>
            </w:r>
            <w:r>
              <w:rPr>
                <w:rFonts w:ascii="仿宋" w:eastAsia="仿宋" w:hAnsi="仿宋" w:cs="仿宋" w:hint="eastAsia"/>
                <w:color w:val="000000"/>
                <w:kern w:val="0"/>
                <w:sz w:val="22"/>
                <w:lang/>
              </w:rPr>
              <w:t>LOF</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中登</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016209</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申万菱信中证军工指数型证券投资基金</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中登</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016225</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申万菱信中证内地新能源主题交易型开放式指数证券投资基金发起式联接基金</w:t>
            </w:r>
            <w:r>
              <w:rPr>
                <w:rFonts w:ascii="仿宋" w:eastAsia="仿宋" w:hAnsi="仿宋" w:cs="仿宋" w:hint="eastAsia"/>
                <w:color w:val="000000"/>
                <w:kern w:val="0"/>
                <w:sz w:val="22"/>
                <w:lang/>
              </w:rPr>
              <w:t>A</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016226</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申万菱信中证内地新能源主题交易型开放式指数证券投资基金发起式联接基金</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010531</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申万菱信中证申万电子行业投资指数型证券投资基金（</w:t>
            </w:r>
            <w:r>
              <w:rPr>
                <w:rFonts w:ascii="仿宋" w:eastAsia="仿宋" w:hAnsi="仿宋" w:cs="仿宋" w:hint="eastAsia"/>
                <w:color w:val="000000"/>
                <w:kern w:val="0"/>
                <w:sz w:val="22"/>
                <w:lang/>
              </w:rPr>
              <w:t>LOF</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中登</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015176</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申万菱信中证申万医药生物指数型证券投资基金</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中登</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015178</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申万菱信中证申万证券行业指数型证券投资基金</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中登</w:t>
            </w:r>
            <w:r>
              <w:rPr>
                <w:rFonts w:ascii="仿宋" w:eastAsia="仿宋" w:hAnsi="仿宋" w:cs="仿宋" w:hint="eastAsia"/>
                <w:color w:val="000000"/>
                <w:kern w:val="0"/>
                <w:sz w:val="22"/>
                <w:lang/>
              </w:rPr>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007983</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申万菱信中证研发创新</w:t>
            </w:r>
            <w:r>
              <w:rPr>
                <w:rFonts w:ascii="仿宋" w:eastAsia="仿宋" w:hAnsi="仿宋" w:cs="仿宋" w:hint="eastAsia"/>
                <w:color w:val="000000"/>
                <w:kern w:val="0"/>
                <w:sz w:val="22"/>
                <w:lang/>
              </w:rPr>
              <w:t>100</w:t>
            </w:r>
            <w:r>
              <w:rPr>
                <w:rFonts w:ascii="仿宋" w:eastAsia="仿宋" w:hAnsi="仿宋" w:cs="仿宋" w:hint="eastAsia"/>
                <w:color w:val="000000"/>
                <w:kern w:val="0"/>
                <w:sz w:val="22"/>
                <w:lang/>
              </w:rPr>
              <w:t>交易型开放式指数证券投资基金联接</w:t>
            </w:r>
            <w:r>
              <w:rPr>
                <w:rFonts w:ascii="仿宋" w:eastAsia="仿宋" w:hAnsi="仿宋" w:cs="仿宋" w:hint="eastAsia"/>
                <w:color w:val="000000"/>
                <w:kern w:val="0"/>
                <w:sz w:val="22"/>
                <w:lang/>
              </w:rPr>
              <w:lastRenderedPageBreak/>
              <w:t>基金</w:t>
            </w:r>
            <w:r>
              <w:rPr>
                <w:rFonts w:ascii="仿宋" w:eastAsia="仿宋" w:hAnsi="仿宋" w:cs="仿宋" w:hint="eastAsia"/>
                <w:color w:val="000000"/>
                <w:kern w:val="0"/>
                <w:sz w:val="22"/>
                <w:lang/>
              </w:rPr>
              <w:t>A</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lastRenderedPageBreak/>
              <w:t>自建</w:t>
            </w:r>
            <w:r>
              <w:rPr>
                <w:rFonts w:ascii="仿宋" w:eastAsia="仿宋" w:hAnsi="仿宋" w:cs="仿宋" w:hint="eastAsia"/>
                <w:color w:val="000000"/>
                <w:kern w:val="0"/>
                <w:sz w:val="22"/>
                <w:lang/>
              </w:rPr>
              <w:lastRenderedPageBreak/>
              <w:t>TA</w:t>
            </w:r>
          </w:p>
        </w:tc>
      </w:tr>
      <w:tr w:rsidR="006E443F">
        <w:trPr>
          <w:trHeight w:val="285"/>
        </w:trPr>
        <w:tc>
          <w:tcPr>
            <w:tcW w:w="70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lastRenderedPageBreak/>
              <w:t>007984</w:t>
            </w:r>
          </w:p>
        </w:tc>
        <w:tc>
          <w:tcPr>
            <w:tcW w:w="373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申万菱信中证研发创新</w:t>
            </w:r>
            <w:r>
              <w:rPr>
                <w:rFonts w:ascii="仿宋" w:eastAsia="仿宋" w:hAnsi="仿宋" w:cs="仿宋" w:hint="eastAsia"/>
                <w:color w:val="000000"/>
                <w:kern w:val="0"/>
                <w:sz w:val="22"/>
                <w:lang/>
              </w:rPr>
              <w:t>100</w:t>
            </w:r>
            <w:r>
              <w:rPr>
                <w:rFonts w:ascii="仿宋" w:eastAsia="仿宋" w:hAnsi="仿宋" w:cs="仿宋" w:hint="eastAsia"/>
                <w:color w:val="000000"/>
                <w:kern w:val="0"/>
                <w:sz w:val="22"/>
                <w:lang/>
              </w:rPr>
              <w:t>交易型开放式指数证券投资基金联接基金</w:t>
            </w:r>
            <w:r>
              <w:rPr>
                <w:rFonts w:ascii="仿宋" w:eastAsia="仿宋" w:hAnsi="仿宋" w:cs="仿宋" w:hint="eastAsia"/>
                <w:color w:val="000000"/>
                <w:kern w:val="0"/>
                <w:sz w:val="22"/>
                <w:lang/>
              </w:rPr>
              <w:t>C</w:t>
            </w:r>
          </w:p>
        </w:tc>
        <w:tc>
          <w:tcPr>
            <w:tcW w:w="56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自建</w:t>
            </w:r>
            <w:r>
              <w:rPr>
                <w:rFonts w:ascii="仿宋" w:eastAsia="仿宋" w:hAnsi="仿宋" w:cs="仿宋" w:hint="eastAsia"/>
                <w:color w:val="000000"/>
                <w:kern w:val="0"/>
                <w:sz w:val="22"/>
                <w:lang/>
              </w:rPr>
              <w:t>TA</w:t>
            </w:r>
          </w:p>
        </w:tc>
      </w:tr>
    </w:tbl>
    <w:p w:rsidR="006E443F" w:rsidRDefault="00796922">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w:t>
      </w:r>
      <w:r>
        <w:rPr>
          <w:rFonts w:ascii="仿宋" w:eastAsia="仿宋" w:hAnsi="仿宋" w:cs="仿宋" w:hint="eastAsia"/>
          <w:sz w:val="24"/>
          <w:szCs w:val="24"/>
        </w:rPr>
        <w:t>202</w:t>
      </w:r>
      <w:r>
        <w:rPr>
          <w:rFonts w:ascii="仿宋" w:eastAsia="仿宋" w:hAnsi="仿宋" w:cs="仿宋" w:hint="eastAsia"/>
          <w:sz w:val="24"/>
          <w:szCs w:val="24"/>
        </w:rPr>
        <w:t>3</w:t>
      </w:r>
      <w:r>
        <w:rPr>
          <w:rFonts w:ascii="仿宋" w:eastAsia="仿宋" w:hAnsi="仿宋" w:cs="仿宋" w:hint="eastAsia"/>
          <w:sz w:val="24"/>
          <w:szCs w:val="24"/>
        </w:rPr>
        <w:t>年</w:t>
      </w:r>
      <w:r>
        <w:rPr>
          <w:rFonts w:ascii="仿宋" w:eastAsia="仿宋" w:hAnsi="仿宋" w:cs="仿宋" w:hint="eastAsia"/>
          <w:sz w:val="24"/>
          <w:szCs w:val="24"/>
        </w:rPr>
        <w:t>10</w:t>
      </w:r>
      <w:r>
        <w:rPr>
          <w:rFonts w:ascii="仿宋" w:eastAsia="仿宋" w:hAnsi="仿宋" w:cs="仿宋" w:hint="eastAsia"/>
          <w:sz w:val="24"/>
          <w:szCs w:val="24"/>
        </w:rPr>
        <w:t>月</w:t>
      </w:r>
      <w:r>
        <w:rPr>
          <w:rFonts w:ascii="仿宋" w:eastAsia="仿宋" w:hAnsi="仿宋" w:cs="仿宋" w:hint="eastAsia"/>
          <w:sz w:val="24"/>
          <w:szCs w:val="24"/>
        </w:rPr>
        <w:t>18</w:t>
      </w:r>
      <w:r>
        <w:rPr>
          <w:rFonts w:ascii="仿宋" w:eastAsia="仿宋" w:hAnsi="仿宋" w:cs="仿宋" w:hint="eastAsia"/>
          <w:sz w:val="24"/>
          <w:szCs w:val="24"/>
        </w:rPr>
        <w:t>日起，投资者可通过</w:t>
      </w:r>
      <w:r>
        <w:rPr>
          <w:rFonts w:ascii="仿宋" w:eastAsia="仿宋" w:hAnsi="仿宋" w:cs="仿宋" w:hint="eastAsia"/>
          <w:sz w:val="24"/>
          <w:szCs w:val="24"/>
        </w:rPr>
        <w:t>国金证券股份有限公司（简称“国金证券”）</w:t>
      </w:r>
      <w:r>
        <w:rPr>
          <w:rFonts w:ascii="仿宋" w:eastAsia="仿宋" w:hAnsi="仿宋" w:cs="仿宋" w:hint="eastAsia"/>
          <w:sz w:val="24"/>
          <w:szCs w:val="24"/>
        </w:rPr>
        <w:t>办理</w:t>
      </w:r>
      <w:r>
        <w:rPr>
          <w:rFonts w:ascii="仿宋" w:eastAsia="仿宋" w:hAnsi="仿宋" w:cs="仿宋" w:hint="eastAsia"/>
          <w:sz w:val="24"/>
          <w:szCs w:val="24"/>
        </w:rPr>
        <w:t>下表所列基金产品的开户、申购、赎回等</w:t>
      </w:r>
      <w:r>
        <w:rPr>
          <w:rFonts w:ascii="仿宋" w:eastAsia="仿宋" w:hAnsi="仿宋" w:cs="仿宋" w:hint="eastAsia"/>
          <w:sz w:val="24"/>
          <w:szCs w:val="24"/>
        </w:rPr>
        <w:t>相关业务</w:t>
      </w:r>
      <w:r>
        <w:rPr>
          <w:rFonts w:ascii="仿宋" w:eastAsia="仿宋" w:hAnsi="仿宋" w:cs="仿宋" w:hint="eastAsia"/>
          <w:sz w:val="24"/>
          <w:szCs w:val="24"/>
        </w:rPr>
        <w:t>。</w:t>
      </w:r>
    </w:p>
    <w:tbl>
      <w:tblPr>
        <w:tblW w:w="4998" w:type="pct"/>
        <w:tblLook w:val="04A0"/>
      </w:tblPr>
      <w:tblGrid>
        <w:gridCol w:w="1096"/>
        <w:gridCol w:w="6430"/>
        <w:gridCol w:w="993"/>
      </w:tblGrid>
      <w:tr w:rsidR="006E443F">
        <w:trPr>
          <w:trHeight w:val="285"/>
        </w:trPr>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基金代码</w:t>
            </w:r>
          </w:p>
        </w:tc>
        <w:tc>
          <w:tcPr>
            <w:tcW w:w="38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基金名称</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TA</w:t>
            </w:r>
            <w:r>
              <w:rPr>
                <w:rFonts w:ascii="仿宋" w:eastAsia="仿宋" w:hAnsi="仿宋" w:cs="仿宋" w:hint="eastAsia"/>
                <w:color w:val="000000"/>
                <w:kern w:val="0"/>
                <w:sz w:val="22"/>
                <w:lang/>
              </w:rPr>
              <w:t>类别</w:t>
            </w:r>
          </w:p>
        </w:tc>
      </w:tr>
      <w:tr w:rsidR="006E443F">
        <w:trPr>
          <w:trHeight w:val="285"/>
        </w:trPr>
        <w:tc>
          <w:tcPr>
            <w:tcW w:w="59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013918</w:t>
            </w:r>
          </w:p>
        </w:tc>
        <w:tc>
          <w:tcPr>
            <w:tcW w:w="38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申万菱信量化小盘股票型证券投资基金（</w:t>
            </w:r>
            <w:r>
              <w:rPr>
                <w:rFonts w:ascii="仿宋" w:eastAsia="仿宋" w:hAnsi="仿宋" w:cs="仿宋" w:hint="eastAsia"/>
                <w:color w:val="000000"/>
                <w:kern w:val="0"/>
                <w:sz w:val="22"/>
                <w:lang/>
              </w:rPr>
              <w:t>LOF</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C</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中登</w:t>
            </w:r>
            <w:r>
              <w:rPr>
                <w:rFonts w:ascii="仿宋" w:eastAsia="仿宋" w:hAnsi="仿宋" w:cs="仿宋" w:hint="eastAsia"/>
                <w:color w:val="000000"/>
                <w:kern w:val="0"/>
                <w:sz w:val="22"/>
                <w:lang/>
              </w:rPr>
              <w:t>TA</w:t>
            </w:r>
          </w:p>
        </w:tc>
      </w:tr>
    </w:tbl>
    <w:p w:rsidR="006E443F" w:rsidRDefault="006E443F">
      <w:pPr>
        <w:spacing w:line="500" w:lineRule="exact"/>
        <w:ind w:firstLineChars="200" w:firstLine="480"/>
        <w:rPr>
          <w:rFonts w:ascii="仿宋" w:eastAsia="仿宋" w:hAnsi="仿宋" w:cs="仿宋"/>
          <w:sz w:val="24"/>
          <w:szCs w:val="24"/>
        </w:rPr>
      </w:pPr>
    </w:p>
    <w:p w:rsidR="006E443F" w:rsidRDefault="00796922">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r>
        <w:rPr>
          <w:rFonts w:ascii="仿宋" w:eastAsia="仿宋" w:hAnsi="仿宋" w:cs="仿宋" w:hint="eastAsia"/>
          <w:sz w:val="24"/>
          <w:szCs w:val="24"/>
        </w:rPr>
        <w:t>本公司旗下自建</w:t>
      </w:r>
      <w:r>
        <w:rPr>
          <w:rFonts w:ascii="仿宋" w:eastAsia="仿宋" w:hAnsi="仿宋" w:cs="仿宋" w:hint="eastAsia"/>
          <w:sz w:val="24"/>
          <w:szCs w:val="24"/>
        </w:rPr>
        <w:t>TA</w:t>
      </w:r>
      <w:r>
        <w:rPr>
          <w:rFonts w:ascii="仿宋" w:eastAsia="仿宋" w:hAnsi="仿宋" w:cs="仿宋" w:hint="eastAsia"/>
          <w:sz w:val="24"/>
          <w:szCs w:val="24"/>
        </w:rPr>
        <w:t>基金与中登（“中登”为中国证券登记结算有限公司的简称）</w:t>
      </w:r>
      <w:r>
        <w:rPr>
          <w:rFonts w:ascii="仿宋" w:eastAsia="仿宋" w:hAnsi="仿宋" w:cs="仿宋" w:hint="eastAsia"/>
          <w:sz w:val="24"/>
          <w:szCs w:val="24"/>
        </w:rPr>
        <w:t>TA</w:t>
      </w:r>
      <w:r>
        <w:rPr>
          <w:rFonts w:ascii="仿宋" w:eastAsia="仿宋" w:hAnsi="仿宋" w:cs="仿宋" w:hint="eastAsia"/>
          <w:sz w:val="24"/>
          <w:szCs w:val="24"/>
        </w:rPr>
        <w:t>基金之间不能相互转换</w:t>
      </w:r>
      <w:r>
        <w:rPr>
          <w:rFonts w:ascii="仿宋" w:eastAsia="仿宋" w:hAnsi="仿宋" w:cs="仿宋" w:hint="eastAsia"/>
          <w:sz w:val="24"/>
          <w:szCs w:val="24"/>
        </w:rPr>
        <w:t>，</w:t>
      </w:r>
      <w:r>
        <w:rPr>
          <w:rFonts w:ascii="仿宋" w:eastAsia="仿宋" w:hAnsi="仿宋" w:cs="仿宋" w:hint="eastAsia"/>
          <w:sz w:val="24"/>
          <w:szCs w:val="24"/>
        </w:rPr>
        <w:t>以上基金产品的具体业务规则以各代销机构的规定为准。</w:t>
      </w:r>
    </w:p>
    <w:p w:rsidR="006E443F" w:rsidRDefault="00796922">
      <w:pPr>
        <w:numPr>
          <w:ilvl w:val="0"/>
          <w:numId w:val="1"/>
        </w:numPr>
        <w:spacing w:line="500" w:lineRule="exact"/>
        <w:ind w:left="0" w:firstLineChars="200" w:firstLine="480"/>
        <w:rPr>
          <w:rFonts w:ascii="仿宋" w:eastAsia="仿宋" w:hAnsi="仿宋" w:cs="仿宋"/>
          <w:sz w:val="24"/>
          <w:szCs w:val="24"/>
        </w:rPr>
      </w:pPr>
      <w:r>
        <w:rPr>
          <w:rFonts w:ascii="仿宋" w:eastAsia="仿宋" w:hAnsi="仿宋" w:cs="仿宋" w:hint="eastAsia"/>
          <w:sz w:val="24"/>
          <w:szCs w:val="24"/>
        </w:rPr>
        <w:t>咨询方式</w:t>
      </w:r>
    </w:p>
    <w:tbl>
      <w:tblPr>
        <w:tblW w:w="499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tblPr>
      <w:tblGrid>
        <w:gridCol w:w="2108"/>
        <w:gridCol w:w="2958"/>
        <w:gridCol w:w="3453"/>
      </w:tblGrid>
      <w:tr w:rsidR="006E443F">
        <w:trPr>
          <w:trHeight w:val="375"/>
        </w:trPr>
        <w:tc>
          <w:tcPr>
            <w:tcW w:w="1237" w:type="pct"/>
            <w:tcBorders>
              <w:tl2br w:val="nil"/>
              <w:tr2bl w:val="nil"/>
            </w:tcBorders>
            <w:shd w:val="clear" w:color="auto" w:fill="FFFFFF" w:themeFill="background1"/>
            <w:vAlign w:val="center"/>
          </w:tcPr>
          <w:p w:rsidR="006E443F" w:rsidRDefault="00796922">
            <w:pPr>
              <w:widowControl/>
              <w:spacing w:line="500" w:lineRule="exact"/>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代销机构简称</w:t>
            </w:r>
          </w:p>
        </w:tc>
        <w:tc>
          <w:tcPr>
            <w:tcW w:w="1736" w:type="pct"/>
            <w:tcBorders>
              <w:tl2br w:val="nil"/>
              <w:tr2bl w:val="nil"/>
            </w:tcBorders>
            <w:shd w:val="clear" w:color="auto" w:fill="FFFFFF" w:themeFill="background1"/>
            <w:vAlign w:val="center"/>
          </w:tcPr>
          <w:p w:rsidR="006E443F" w:rsidRDefault="00796922">
            <w:pPr>
              <w:widowControl/>
              <w:spacing w:line="500" w:lineRule="exact"/>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客服电话</w:t>
            </w:r>
          </w:p>
        </w:tc>
        <w:tc>
          <w:tcPr>
            <w:tcW w:w="2026" w:type="pct"/>
            <w:tcBorders>
              <w:tl2br w:val="nil"/>
              <w:tr2bl w:val="nil"/>
            </w:tcBorders>
            <w:shd w:val="clear" w:color="auto" w:fill="FFFFFF" w:themeFill="background1"/>
            <w:vAlign w:val="center"/>
          </w:tcPr>
          <w:p w:rsidR="006E443F" w:rsidRDefault="00796922">
            <w:pPr>
              <w:widowControl/>
              <w:spacing w:line="500" w:lineRule="exact"/>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官方网站</w:t>
            </w:r>
          </w:p>
        </w:tc>
      </w:tr>
      <w:tr w:rsidR="006E443F">
        <w:trPr>
          <w:trHeight w:val="270"/>
        </w:trPr>
        <w:tc>
          <w:tcPr>
            <w:tcW w:w="2108" w:type="dxa"/>
            <w:tcBorders>
              <w:tl2br w:val="nil"/>
              <w:tr2bl w:val="nil"/>
            </w:tcBorders>
            <w:shd w:val="clear" w:color="auto" w:fill="FFFFFF" w:themeFill="background1"/>
            <w:vAlign w:val="center"/>
          </w:tcPr>
          <w:p w:rsidR="006E443F" w:rsidRDefault="00796922">
            <w:pPr>
              <w:widowControl/>
              <w:jc w:val="center"/>
              <w:textAlignment w:val="center"/>
              <w:rPr>
                <w:rFonts w:ascii="仿宋" w:eastAsia="仿宋" w:hAnsi="仿宋" w:cs="仿宋"/>
                <w:kern w:val="0"/>
                <w:sz w:val="24"/>
                <w:szCs w:val="24"/>
                <w:lang/>
              </w:rPr>
            </w:pPr>
            <w:r>
              <w:rPr>
                <w:rFonts w:ascii="仿宋" w:eastAsia="仿宋" w:hAnsi="仿宋" w:cs="仿宋" w:hint="eastAsia"/>
                <w:color w:val="000000"/>
                <w:kern w:val="0"/>
                <w:sz w:val="22"/>
                <w:lang/>
              </w:rPr>
              <w:t>中金财富证券</w:t>
            </w:r>
          </w:p>
        </w:tc>
        <w:tc>
          <w:tcPr>
            <w:tcW w:w="2958" w:type="dxa"/>
            <w:tcBorders>
              <w:tl2br w:val="nil"/>
              <w:tr2bl w:val="nil"/>
            </w:tcBorders>
            <w:shd w:val="clear" w:color="auto" w:fill="FFFFFF" w:themeFill="background1"/>
            <w:vAlign w:val="center"/>
          </w:tcPr>
          <w:p w:rsidR="006E443F" w:rsidRDefault="00796922">
            <w:pPr>
              <w:widowControl/>
              <w:jc w:val="center"/>
              <w:textAlignment w:val="center"/>
              <w:rPr>
                <w:rFonts w:ascii="仿宋" w:eastAsia="仿宋" w:hAnsi="仿宋" w:cs="仿宋"/>
                <w:kern w:val="0"/>
                <w:sz w:val="24"/>
                <w:szCs w:val="24"/>
                <w:lang/>
              </w:rPr>
            </w:pPr>
            <w:r>
              <w:rPr>
                <w:rFonts w:ascii="仿宋" w:eastAsia="仿宋" w:hAnsi="仿宋" w:cs="仿宋" w:hint="eastAsia"/>
                <w:color w:val="000000"/>
                <w:kern w:val="0"/>
                <w:sz w:val="22"/>
                <w:lang/>
              </w:rPr>
              <w:t>95532</w:t>
            </w:r>
            <w:r>
              <w:rPr>
                <w:rFonts w:ascii="仿宋" w:eastAsia="仿宋" w:hAnsi="仿宋" w:cs="仿宋" w:hint="eastAsia"/>
                <w:color w:val="000000"/>
                <w:kern w:val="0"/>
                <w:sz w:val="22"/>
                <w:lang/>
              </w:rPr>
              <w:t>或</w:t>
            </w:r>
            <w:r>
              <w:rPr>
                <w:rFonts w:ascii="仿宋" w:eastAsia="仿宋" w:hAnsi="仿宋" w:cs="仿宋" w:hint="eastAsia"/>
                <w:color w:val="000000"/>
                <w:kern w:val="0"/>
                <w:sz w:val="22"/>
                <w:lang/>
              </w:rPr>
              <w:t>400-600-8008</w:t>
            </w:r>
          </w:p>
        </w:tc>
        <w:tc>
          <w:tcPr>
            <w:tcW w:w="3453" w:type="dxa"/>
            <w:tcBorders>
              <w:tl2br w:val="nil"/>
              <w:tr2bl w:val="nil"/>
            </w:tcBorders>
            <w:shd w:val="clear" w:color="auto" w:fill="FFFFFF" w:themeFill="background1"/>
            <w:noWrap/>
            <w:vAlign w:val="bottom"/>
          </w:tcPr>
          <w:p w:rsidR="006E443F" w:rsidRDefault="00796922">
            <w:pPr>
              <w:widowControl/>
              <w:jc w:val="center"/>
              <w:textAlignment w:val="bottom"/>
              <w:rPr>
                <w:rFonts w:ascii="仿宋" w:eastAsia="仿宋" w:hAnsi="仿宋" w:cs="仿宋"/>
                <w:kern w:val="0"/>
                <w:sz w:val="24"/>
                <w:szCs w:val="24"/>
                <w:lang/>
              </w:rPr>
            </w:pPr>
            <w:r>
              <w:rPr>
                <w:rFonts w:ascii="仿宋" w:eastAsia="仿宋" w:hAnsi="仿宋" w:cs="仿宋" w:hint="eastAsia"/>
                <w:color w:val="000000"/>
                <w:kern w:val="0"/>
                <w:sz w:val="22"/>
                <w:lang/>
              </w:rPr>
              <w:t xml:space="preserve">www.ciccwm.com </w:t>
            </w:r>
          </w:p>
        </w:tc>
      </w:tr>
      <w:tr w:rsidR="006E443F">
        <w:trPr>
          <w:trHeight w:val="270"/>
        </w:trPr>
        <w:tc>
          <w:tcPr>
            <w:tcW w:w="2108" w:type="dxa"/>
            <w:tcBorders>
              <w:tl2br w:val="nil"/>
              <w:tr2bl w:val="nil"/>
            </w:tcBorders>
            <w:shd w:val="clear" w:color="auto" w:fill="FFFFFF" w:themeFill="background1"/>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国金证券</w:t>
            </w:r>
          </w:p>
        </w:tc>
        <w:tc>
          <w:tcPr>
            <w:tcW w:w="2958" w:type="dxa"/>
            <w:tcBorders>
              <w:tl2br w:val="nil"/>
              <w:tr2bl w:val="nil"/>
            </w:tcBorders>
            <w:shd w:val="clear" w:color="auto" w:fill="FFFFFF" w:themeFill="background1"/>
            <w:vAlign w:val="center"/>
          </w:tcPr>
          <w:p w:rsidR="006E443F" w:rsidRDefault="00796922">
            <w:pPr>
              <w:widowControl/>
              <w:jc w:val="center"/>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95310</w:t>
            </w:r>
          </w:p>
        </w:tc>
        <w:tc>
          <w:tcPr>
            <w:tcW w:w="3453" w:type="dxa"/>
            <w:tcBorders>
              <w:tl2br w:val="nil"/>
              <w:tr2bl w:val="nil"/>
            </w:tcBorders>
            <w:shd w:val="clear" w:color="auto" w:fill="FFFFFF" w:themeFill="background1"/>
            <w:noWrap/>
            <w:vAlign w:val="bottom"/>
          </w:tcPr>
          <w:p w:rsidR="006E443F" w:rsidRDefault="00796922">
            <w:pPr>
              <w:widowControl/>
              <w:jc w:val="center"/>
              <w:textAlignment w:val="bottom"/>
              <w:rPr>
                <w:rFonts w:ascii="仿宋" w:eastAsia="仿宋" w:hAnsi="仿宋" w:cs="仿宋"/>
                <w:color w:val="000000"/>
                <w:kern w:val="0"/>
                <w:sz w:val="22"/>
                <w:lang/>
              </w:rPr>
            </w:pPr>
            <w:r>
              <w:rPr>
                <w:rFonts w:ascii="仿宋" w:eastAsia="仿宋" w:hAnsi="仿宋" w:cs="仿宋" w:hint="eastAsia"/>
                <w:color w:val="000000"/>
                <w:kern w:val="0"/>
                <w:sz w:val="22"/>
                <w:lang/>
              </w:rPr>
              <w:t>www.gjzq.com.cn</w:t>
            </w:r>
          </w:p>
        </w:tc>
      </w:tr>
    </w:tbl>
    <w:p w:rsidR="006E443F" w:rsidRDefault="00796922">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本公司旗下各</w:t>
      </w:r>
      <w:r>
        <w:rPr>
          <w:rFonts w:ascii="仿宋" w:eastAsia="仿宋" w:hAnsi="仿宋" w:cs="仿宋" w:hint="eastAsia"/>
          <w:sz w:val="24"/>
          <w:szCs w:val="24"/>
        </w:rPr>
        <w:t>基金</w:t>
      </w:r>
      <w:r>
        <w:rPr>
          <w:rFonts w:ascii="仿宋" w:eastAsia="仿宋" w:hAnsi="仿宋" w:cs="仿宋" w:hint="eastAsia"/>
          <w:sz w:val="24"/>
          <w:szCs w:val="24"/>
        </w:rPr>
        <w:t>的</w:t>
      </w:r>
      <w:r>
        <w:rPr>
          <w:rFonts w:ascii="仿宋" w:eastAsia="仿宋" w:hAnsi="仿宋" w:cs="仿宋" w:hint="eastAsia"/>
          <w:sz w:val="24"/>
          <w:szCs w:val="24"/>
        </w:rPr>
        <w:t>销售机构信息也可登录本公司官方网站（</w:t>
      </w:r>
      <w:r>
        <w:rPr>
          <w:rFonts w:ascii="仿宋" w:eastAsia="仿宋" w:hAnsi="仿宋" w:cs="仿宋" w:hint="eastAsia"/>
          <w:sz w:val="24"/>
          <w:szCs w:val="24"/>
        </w:rPr>
        <w:t>www.swsmu.com</w:t>
      </w:r>
      <w:r>
        <w:rPr>
          <w:rFonts w:ascii="仿宋" w:eastAsia="仿宋" w:hAnsi="仿宋" w:cs="仿宋" w:hint="eastAsia"/>
          <w:sz w:val="24"/>
          <w:szCs w:val="24"/>
        </w:rPr>
        <w:t>）进行查询，投资者若希望了解</w:t>
      </w:r>
      <w:r>
        <w:rPr>
          <w:rFonts w:ascii="仿宋" w:eastAsia="仿宋" w:hAnsi="仿宋" w:cs="仿宋" w:hint="eastAsia"/>
          <w:sz w:val="24"/>
          <w:szCs w:val="24"/>
        </w:rPr>
        <w:t>各</w:t>
      </w:r>
      <w:bookmarkStart w:id="0" w:name="_GoBack"/>
      <w:bookmarkEnd w:id="0"/>
      <w:r>
        <w:rPr>
          <w:rFonts w:ascii="仿宋" w:eastAsia="仿宋" w:hAnsi="仿宋" w:cs="仿宋" w:hint="eastAsia"/>
          <w:sz w:val="24"/>
          <w:szCs w:val="24"/>
        </w:rPr>
        <w:t>基金详情，请参阅本公司发布的相关公告或可拨打本公司客服电话（</w:t>
      </w:r>
      <w:r>
        <w:rPr>
          <w:rFonts w:ascii="仿宋" w:eastAsia="仿宋" w:hAnsi="仿宋" w:cs="仿宋" w:hint="eastAsia"/>
          <w:sz w:val="24"/>
          <w:szCs w:val="24"/>
        </w:rPr>
        <w:t>400-880-8588</w:t>
      </w:r>
      <w:r>
        <w:rPr>
          <w:rFonts w:ascii="仿宋" w:eastAsia="仿宋" w:hAnsi="仿宋" w:cs="仿宋" w:hint="eastAsia"/>
          <w:sz w:val="24"/>
          <w:szCs w:val="24"/>
        </w:rPr>
        <w:t>或</w:t>
      </w:r>
      <w:r>
        <w:rPr>
          <w:rFonts w:ascii="仿宋" w:eastAsia="仿宋" w:hAnsi="仿宋" w:cs="仿宋" w:hint="eastAsia"/>
          <w:sz w:val="24"/>
          <w:szCs w:val="24"/>
        </w:rPr>
        <w:t>021-962299</w:t>
      </w:r>
      <w:r>
        <w:rPr>
          <w:rFonts w:ascii="仿宋" w:eastAsia="仿宋" w:hAnsi="仿宋" w:cs="仿宋" w:hint="eastAsia"/>
          <w:sz w:val="24"/>
          <w:szCs w:val="24"/>
        </w:rPr>
        <w:t>）进行咨询。</w:t>
      </w:r>
    </w:p>
    <w:p w:rsidR="006E443F" w:rsidRDefault="00796922">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欢迎广大投资者垂询、惠顾办理本公司旗下各基金的开户、认购、申购、定投、转换等相关业务。</w:t>
      </w:r>
    </w:p>
    <w:p w:rsidR="006E443F" w:rsidRDefault="00796922">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特此公告。</w:t>
      </w:r>
    </w:p>
    <w:p w:rsidR="006E443F" w:rsidRDefault="00796922">
      <w:pPr>
        <w:spacing w:line="500" w:lineRule="exact"/>
        <w:ind w:firstLineChars="200" w:firstLine="480"/>
        <w:jc w:val="right"/>
        <w:rPr>
          <w:rFonts w:ascii="仿宋" w:eastAsia="仿宋" w:hAnsi="仿宋" w:cs="仿宋"/>
          <w:sz w:val="24"/>
          <w:szCs w:val="24"/>
        </w:rPr>
      </w:pPr>
      <w:r>
        <w:rPr>
          <w:rFonts w:ascii="仿宋" w:eastAsia="仿宋" w:hAnsi="仿宋" w:cs="仿宋" w:hint="eastAsia"/>
          <w:sz w:val="24"/>
          <w:szCs w:val="24"/>
        </w:rPr>
        <w:t>申万菱信基金管理有限公司</w:t>
      </w:r>
    </w:p>
    <w:p w:rsidR="006E443F" w:rsidRDefault="00796922">
      <w:pPr>
        <w:spacing w:line="500" w:lineRule="exact"/>
        <w:ind w:firstLineChars="200" w:firstLine="480"/>
        <w:jc w:val="right"/>
        <w:rPr>
          <w:rFonts w:ascii="仿宋" w:eastAsia="仿宋" w:hAnsi="仿宋" w:cs="仿宋"/>
          <w:sz w:val="24"/>
          <w:szCs w:val="24"/>
        </w:rPr>
      </w:pPr>
      <w:r>
        <w:rPr>
          <w:rFonts w:ascii="仿宋" w:eastAsia="仿宋" w:hAnsi="仿宋" w:cs="仿宋" w:hint="eastAsia"/>
          <w:sz w:val="24"/>
          <w:szCs w:val="24"/>
        </w:rPr>
        <w:t>202</w:t>
      </w:r>
      <w:r>
        <w:rPr>
          <w:rFonts w:ascii="仿宋" w:eastAsia="仿宋" w:hAnsi="仿宋" w:cs="仿宋" w:hint="eastAsia"/>
          <w:sz w:val="24"/>
          <w:szCs w:val="24"/>
        </w:rPr>
        <w:t>3</w:t>
      </w:r>
      <w:r>
        <w:rPr>
          <w:rFonts w:ascii="仿宋" w:eastAsia="仿宋" w:hAnsi="仿宋" w:cs="仿宋" w:hint="eastAsia"/>
          <w:sz w:val="24"/>
          <w:szCs w:val="24"/>
        </w:rPr>
        <w:t>年</w:t>
      </w:r>
      <w:r>
        <w:rPr>
          <w:rFonts w:ascii="仿宋" w:eastAsia="仿宋" w:hAnsi="仿宋" w:cs="仿宋" w:hint="eastAsia"/>
          <w:sz w:val="24"/>
          <w:szCs w:val="24"/>
        </w:rPr>
        <w:t>10</w:t>
      </w:r>
      <w:r>
        <w:rPr>
          <w:rFonts w:ascii="仿宋" w:eastAsia="仿宋" w:hAnsi="仿宋" w:cs="仿宋" w:hint="eastAsia"/>
          <w:sz w:val="24"/>
          <w:szCs w:val="24"/>
        </w:rPr>
        <w:t>月</w:t>
      </w:r>
      <w:r>
        <w:rPr>
          <w:rFonts w:ascii="仿宋" w:eastAsia="仿宋" w:hAnsi="仿宋" w:cs="仿宋" w:hint="eastAsia"/>
          <w:sz w:val="24"/>
          <w:szCs w:val="24"/>
        </w:rPr>
        <w:t>17</w:t>
      </w:r>
      <w:r>
        <w:rPr>
          <w:rFonts w:ascii="仿宋" w:eastAsia="仿宋" w:hAnsi="仿宋" w:cs="仿宋" w:hint="eastAsia"/>
          <w:sz w:val="24"/>
          <w:szCs w:val="24"/>
        </w:rPr>
        <w:t>日</w:t>
      </w:r>
    </w:p>
    <w:p w:rsidR="006E443F" w:rsidRDefault="006E443F">
      <w:pPr>
        <w:spacing w:line="500" w:lineRule="exact"/>
        <w:jc w:val="right"/>
        <w:rPr>
          <w:rFonts w:asciiTheme="minorEastAsia" w:hAnsiTheme="minorEastAsia"/>
          <w:sz w:val="24"/>
          <w:szCs w:val="24"/>
        </w:rPr>
      </w:pPr>
    </w:p>
    <w:sectPr w:rsidR="006E443F" w:rsidSect="006E443F">
      <w:pgSz w:w="11906" w:h="16838"/>
      <w:pgMar w:top="82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A78F3"/>
    <w:multiLevelType w:val="multilevel"/>
    <w:tmpl w:val="758A78F3"/>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E2ZjQ3MzZhYWIzMWM4OWY2ODMyNTljMGY1ZTFiZWQifQ=="/>
  </w:docVars>
  <w:rsids>
    <w:rsidRoot w:val="00172A27"/>
    <w:rsid w:val="00023BF5"/>
    <w:rsid w:val="0005384C"/>
    <w:rsid w:val="00062E5E"/>
    <w:rsid w:val="0006394B"/>
    <w:rsid w:val="00070C2C"/>
    <w:rsid w:val="0008747A"/>
    <w:rsid w:val="000A49AD"/>
    <w:rsid w:val="000B530F"/>
    <w:rsid w:val="000B62C9"/>
    <w:rsid w:val="000D53AC"/>
    <w:rsid w:val="00172A27"/>
    <w:rsid w:val="00253AF9"/>
    <w:rsid w:val="00270DD4"/>
    <w:rsid w:val="00304C74"/>
    <w:rsid w:val="003477BB"/>
    <w:rsid w:val="00363A10"/>
    <w:rsid w:val="003748D9"/>
    <w:rsid w:val="003D5218"/>
    <w:rsid w:val="003D641A"/>
    <w:rsid w:val="00462D99"/>
    <w:rsid w:val="00467228"/>
    <w:rsid w:val="004C2C5D"/>
    <w:rsid w:val="004C5270"/>
    <w:rsid w:val="004F51DB"/>
    <w:rsid w:val="00502B4E"/>
    <w:rsid w:val="005119FF"/>
    <w:rsid w:val="005A334B"/>
    <w:rsid w:val="005D4BEE"/>
    <w:rsid w:val="006132E0"/>
    <w:rsid w:val="006166C0"/>
    <w:rsid w:val="00622BA6"/>
    <w:rsid w:val="00657E09"/>
    <w:rsid w:val="00662087"/>
    <w:rsid w:val="00675900"/>
    <w:rsid w:val="006A1924"/>
    <w:rsid w:val="006C1367"/>
    <w:rsid w:val="006E443F"/>
    <w:rsid w:val="0071668B"/>
    <w:rsid w:val="00777F23"/>
    <w:rsid w:val="00796922"/>
    <w:rsid w:val="007A0644"/>
    <w:rsid w:val="007B04A5"/>
    <w:rsid w:val="007E2D28"/>
    <w:rsid w:val="00890EB2"/>
    <w:rsid w:val="008B05C7"/>
    <w:rsid w:val="008B072A"/>
    <w:rsid w:val="008C7D9E"/>
    <w:rsid w:val="00993121"/>
    <w:rsid w:val="00A305EB"/>
    <w:rsid w:val="00A56168"/>
    <w:rsid w:val="00AB6267"/>
    <w:rsid w:val="00AF6356"/>
    <w:rsid w:val="00B153C9"/>
    <w:rsid w:val="00B25E5D"/>
    <w:rsid w:val="00B44206"/>
    <w:rsid w:val="00B562EB"/>
    <w:rsid w:val="00B827CA"/>
    <w:rsid w:val="00BB0EB8"/>
    <w:rsid w:val="00BE05FC"/>
    <w:rsid w:val="00C301EB"/>
    <w:rsid w:val="00C84140"/>
    <w:rsid w:val="00C97E58"/>
    <w:rsid w:val="00CA73A8"/>
    <w:rsid w:val="00D07CF5"/>
    <w:rsid w:val="00D51E54"/>
    <w:rsid w:val="00D565F2"/>
    <w:rsid w:val="00D81F61"/>
    <w:rsid w:val="00DB2266"/>
    <w:rsid w:val="00DB550B"/>
    <w:rsid w:val="00DF2B34"/>
    <w:rsid w:val="00E25011"/>
    <w:rsid w:val="00E460F9"/>
    <w:rsid w:val="00E55787"/>
    <w:rsid w:val="00E72DB5"/>
    <w:rsid w:val="00EA238D"/>
    <w:rsid w:val="00EC4B43"/>
    <w:rsid w:val="00ED6FF1"/>
    <w:rsid w:val="00EE5D6B"/>
    <w:rsid w:val="00EF046C"/>
    <w:rsid w:val="00F0654A"/>
    <w:rsid w:val="00F06A67"/>
    <w:rsid w:val="00F62DC9"/>
    <w:rsid w:val="00F77FB0"/>
    <w:rsid w:val="00FA0BD7"/>
    <w:rsid w:val="00FB2DE2"/>
    <w:rsid w:val="0F1915CB"/>
    <w:rsid w:val="121B6930"/>
    <w:rsid w:val="1B3E42D4"/>
    <w:rsid w:val="20EC2B3D"/>
    <w:rsid w:val="2C217809"/>
    <w:rsid w:val="2CC359C5"/>
    <w:rsid w:val="33126D93"/>
    <w:rsid w:val="373A24CE"/>
    <w:rsid w:val="3D1A021A"/>
    <w:rsid w:val="3ED1739E"/>
    <w:rsid w:val="4FD63A9A"/>
    <w:rsid w:val="5FAE2505"/>
    <w:rsid w:val="67A4164A"/>
    <w:rsid w:val="72C05B47"/>
    <w:rsid w:val="74C14001"/>
    <w:rsid w:val="75AC1931"/>
    <w:rsid w:val="7F8069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43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E443F"/>
    <w:pPr>
      <w:jc w:val="left"/>
    </w:pPr>
  </w:style>
  <w:style w:type="paragraph" w:styleId="a4">
    <w:name w:val="Balloon Text"/>
    <w:basedOn w:val="a"/>
    <w:link w:val="Char0"/>
    <w:uiPriority w:val="99"/>
    <w:semiHidden/>
    <w:unhideWhenUsed/>
    <w:qFormat/>
    <w:rsid w:val="006E443F"/>
    <w:rPr>
      <w:sz w:val="18"/>
      <w:szCs w:val="18"/>
    </w:rPr>
  </w:style>
  <w:style w:type="paragraph" w:styleId="a5">
    <w:name w:val="footer"/>
    <w:basedOn w:val="a"/>
    <w:link w:val="Char1"/>
    <w:uiPriority w:val="99"/>
    <w:unhideWhenUsed/>
    <w:qFormat/>
    <w:rsid w:val="006E443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E443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6E443F"/>
    <w:rPr>
      <w:b/>
      <w:bCs/>
    </w:rPr>
  </w:style>
  <w:style w:type="table" w:styleId="a8">
    <w:name w:val="Table Grid"/>
    <w:basedOn w:val="a1"/>
    <w:uiPriority w:val="59"/>
    <w:qFormat/>
    <w:rsid w:val="006E4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qFormat/>
    <w:rsid w:val="006E443F"/>
    <w:rPr>
      <w:color w:val="0000FF" w:themeColor="hyperlink"/>
      <w:u w:val="single"/>
    </w:rPr>
  </w:style>
  <w:style w:type="character" w:styleId="aa">
    <w:name w:val="annotation reference"/>
    <w:basedOn w:val="a0"/>
    <w:uiPriority w:val="99"/>
    <w:semiHidden/>
    <w:unhideWhenUsed/>
    <w:qFormat/>
    <w:rsid w:val="006E443F"/>
    <w:rPr>
      <w:sz w:val="21"/>
      <w:szCs w:val="21"/>
    </w:rPr>
  </w:style>
  <w:style w:type="character" w:customStyle="1" w:styleId="Char2">
    <w:name w:val="页眉 Char"/>
    <w:basedOn w:val="a0"/>
    <w:link w:val="a6"/>
    <w:uiPriority w:val="99"/>
    <w:qFormat/>
    <w:rsid w:val="006E443F"/>
    <w:rPr>
      <w:sz w:val="18"/>
      <w:szCs w:val="18"/>
    </w:rPr>
  </w:style>
  <w:style w:type="character" w:customStyle="1" w:styleId="Char1">
    <w:name w:val="页脚 Char"/>
    <w:basedOn w:val="a0"/>
    <w:link w:val="a5"/>
    <w:uiPriority w:val="99"/>
    <w:qFormat/>
    <w:rsid w:val="006E443F"/>
    <w:rPr>
      <w:sz w:val="18"/>
      <w:szCs w:val="18"/>
    </w:rPr>
  </w:style>
  <w:style w:type="paragraph" w:styleId="ab">
    <w:name w:val="List Paragraph"/>
    <w:basedOn w:val="a"/>
    <w:uiPriority w:val="34"/>
    <w:qFormat/>
    <w:rsid w:val="006E443F"/>
    <w:pPr>
      <w:ind w:firstLineChars="200" w:firstLine="420"/>
    </w:pPr>
  </w:style>
  <w:style w:type="character" w:customStyle="1" w:styleId="Char">
    <w:name w:val="批注文字 Char"/>
    <w:basedOn w:val="a0"/>
    <w:link w:val="a3"/>
    <w:uiPriority w:val="99"/>
    <w:semiHidden/>
    <w:qFormat/>
    <w:rsid w:val="006E443F"/>
  </w:style>
  <w:style w:type="character" w:customStyle="1" w:styleId="Char3">
    <w:name w:val="批注主题 Char"/>
    <w:basedOn w:val="Char"/>
    <w:link w:val="a7"/>
    <w:uiPriority w:val="99"/>
    <w:semiHidden/>
    <w:qFormat/>
    <w:rsid w:val="006E443F"/>
    <w:rPr>
      <w:b/>
      <w:bCs/>
    </w:rPr>
  </w:style>
  <w:style w:type="character" w:customStyle="1" w:styleId="Char0">
    <w:name w:val="批注框文本 Char"/>
    <w:basedOn w:val="a0"/>
    <w:link w:val="a4"/>
    <w:uiPriority w:val="99"/>
    <w:semiHidden/>
    <w:qFormat/>
    <w:rsid w:val="006E443F"/>
    <w:rPr>
      <w:sz w:val="18"/>
      <w:szCs w:val="18"/>
    </w:rPr>
  </w:style>
  <w:style w:type="paragraph" w:customStyle="1" w:styleId="1">
    <w:name w:val="修订1"/>
    <w:hidden/>
    <w:uiPriority w:val="99"/>
    <w:semiHidden/>
    <w:qFormat/>
    <w:rsid w:val="006E443F"/>
    <w:rPr>
      <w:rFonts w:asciiTheme="minorHAnsi" w:eastAsiaTheme="minorEastAsia" w:hAnsiTheme="minorHAnsi" w:cstheme="minorBidi"/>
      <w:kern w:val="2"/>
      <w:sz w:val="21"/>
      <w:szCs w:val="22"/>
    </w:rPr>
  </w:style>
  <w:style w:type="paragraph" w:customStyle="1" w:styleId="Default">
    <w:name w:val="Default"/>
    <w:uiPriority w:val="99"/>
    <w:unhideWhenUsed/>
    <w:qFormat/>
    <w:rsid w:val="006E443F"/>
    <w:pPr>
      <w:widowControl w:val="0"/>
      <w:autoSpaceDE w:val="0"/>
      <w:autoSpaceDN w:val="0"/>
      <w:adjustRightInd w:val="0"/>
    </w:pPr>
    <w:rPr>
      <w:rFonts w:ascii="宋体" w:hAnsi="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1225</Characters>
  <Application>Microsoft Office Word</Application>
  <DocSecurity>4</DocSecurity>
  <Lines>10</Lines>
  <Paragraphs>2</Paragraphs>
  <ScaleCrop>false</ScaleCrop>
  <Company>Microsoft</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2023-10-16T16:01:00Z</dcterms:created>
  <dcterms:modified xsi:type="dcterms:W3CDTF">2023-10-16T16:01:00Z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867EA8E8FD254C6B9F8317A26CB255F4_13</vt:lpwstr>
  </property>
</Properties>
</file>