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C2" w:rsidRPr="00CE6E32" w:rsidRDefault="00D5550B" w:rsidP="002E6AC2">
      <w:pPr>
        <w:ind w:rightChars="40" w:right="84"/>
        <w:jc w:val="center"/>
        <w:rPr>
          <w:rFonts w:ascii="宋体" w:hAnsi="宋体"/>
          <w:b/>
          <w:szCs w:val="21"/>
        </w:rPr>
      </w:pPr>
      <w:r w:rsidRPr="00403D96">
        <w:rPr>
          <w:rFonts w:hint="eastAsia"/>
          <w:b/>
          <w:sz w:val="28"/>
          <w:szCs w:val="28"/>
        </w:rPr>
        <w:t>易方达基金管理有限公司关于旗下部分基金修订基金合同、托管协议的公告</w:t>
      </w:r>
    </w:p>
    <w:p w:rsidR="002E6AC2" w:rsidRPr="00CE6E32" w:rsidRDefault="002E6AC2" w:rsidP="002E6AC2">
      <w:pPr>
        <w:pStyle w:val="Default"/>
        <w:ind w:rightChars="40" w:right="84"/>
        <w:rPr>
          <w:rFonts w:cstheme="minorBidi"/>
          <w:color w:val="auto"/>
          <w:sz w:val="21"/>
          <w:szCs w:val="21"/>
        </w:rPr>
      </w:pPr>
    </w:p>
    <w:p w:rsidR="002E6AC2" w:rsidRDefault="00D5550B" w:rsidP="00740C88">
      <w:pPr>
        <w:spacing w:line="360" w:lineRule="auto"/>
        <w:ind w:rightChars="40" w:right="84" w:firstLineChars="200" w:firstLine="480"/>
        <w:rPr>
          <w:rFonts w:ascii="Times New Roman" w:eastAsia="宋体" w:hAnsi="宋体" w:cs="宋体"/>
          <w:sz w:val="24"/>
          <w:szCs w:val="24"/>
        </w:rPr>
      </w:pPr>
      <w:r w:rsidRPr="00740C88">
        <w:rPr>
          <w:rFonts w:ascii="Times New Roman" w:eastAsia="宋体" w:hAnsi="宋体" w:cs="宋体" w:hint="eastAsia"/>
          <w:sz w:val="24"/>
          <w:szCs w:val="24"/>
        </w:rPr>
        <w:t>根据《中华人民共和国证券</w:t>
      </w:r>
      <w:r>
        <w:rPr>
          <w:rFonts w:ascii="Times New Roman" w:eastAsia="宋体" w:hAnsi="宋体" w:cs="宋体" w:hint="eastAsia"/>
          <w:sz w:val="24"/>
          <w:szCs w:val="24"/>
        </w:rPr>
        <w:t>投资基金</w:t>
      </w:r>
      <w:r w:rsidRPr="00740C88">
        <w:rPr>
          <w:rFonts w:ascii="Times New Roman" w:eastAsia="宋体" w:hAnsi="宋体" w:cs="宋体" w:hint="eastAsia"/>
          <w:sz w:val="24"/>
          <w:szCs w:val="24"/>
        </w:rPr>
        <w:t>法》《公开募集证券投资基金信息披露管理办法》《存托凭证发行与交易管理办法（试行）》等法律法规及各基金基金合同规定，经与各基金托管人协商一致，</w:t>
      </w:r>
      <w:r w:rsidR="00FF5130">
        <w:rPr>
          <w:rFonts w:ascii="Times New Roman" w:eastAsia="宋体" w:hAnsi="宋体" w:cs="宋体" w:hint="eastAsia"/>
          <w:sz w:val="24"/>
          <w:szCs w:val="24"/>
        </w:rPr>
        <w:t>易方达基金</w:t>
      </w:r>
      <w:r w:rsidR="00DE1459">
        <w:rPr>
          <w:rFonts w:ascii="Times New Roman" w:eastAsia="宋体" w:hAnsi="宋体" w:cs="宋体" w:hint="eastAsia"/>
          <w:sz w:val="24"/>
          <w:szCs w:val="24"/>
        </w:rPr>
        <w:t>管理有限公司（以下简称“</w:t>
      </w:r>
      <w:r w:rsidRPr="00740C88">
        <w:rPr>
          <w:rFonts w:ascii="Times New Roman" w:eastAsia="宋体" w:hAnsi="宋体" w:cs="宋体" w:hint="eastAsia"/>
          <w:sz w:val="24"/>
          <w:szCs w:val="24"/>
        </w:rPr>
        <w:t>基金管理人”）旗下</w:t>
      </w:r>
      <w:r w:rsidR="00FB3960">
        <w:rPr>
          <w:rFonts w:ascii="Times New Roman" w:eastAsia="宋体" w:hAnsi="宋体" w:cs="宋体"/>
          <w:sz w:val="24"/>
          <w:szCs w:val="24"/>
        </w:rPr>
        <w:t>9</w:t>
      </w:r>
      <w:r w:rsidRPr="00740C88">
        <w:rPr>
          <w:rFonts w:ascii="Times New Roman" w:eastAsia="宋体" w:hAnsi="宋体" w:cs="宋体" w:hint="eastAsia"/>
          <w:sz w:val="24"/>
          <w:szCs w:val="24"/>
        </w:rPr>
        <w:t>只公募基金</w:t>
      </w:r>
      <w:r w:rsidR="002A7E0F">
        <w:rPr>
          <w:rFonts w:ascii="Times New Roman" w:eastAsia="宋体" w:hAnsi="宋体" w:cs="宋体" w:hint="eastAsia"/>
          <w:sz w:val="24"/>
          <w:szCs w:val="24"/>
        </w:rPr>
        <w:t>就</w:t>
      </w:r>
      <w:r w:rsidRPr="00740C88">
        <w:rPr>
          <w:rFonts w:ascii="Times New Roman" w:eastAsia="宋体" w:hAnsi="宋体" w:cs="宋体" w:hint="eastAsia"/>
          <w:sz w:val="24"/>
          <w:szCs w:val="24"/>
        </w:rPr>
        <w:t>参与存托凭证投资</w:t>
      </w:r>
      <w:r w:rsidR="002A7E0F">
        <w:rPr>
          <w:rFonts w:ascii="Times New Roman" w:eastAsia="宋体" w:hAnsi="宋体" w:cs="宋体" w:hint="eastAsia"/>
          <w:sz w:val="24"/>
          <w:szCs w:val="24"/>
        </w:rPr>
        <w:t>事宜</w:t>
      </w:r>
      <w:r w:rsidRPr="00740C88">
        <w:rPr>
          <w:rFonts w:ascii="Times New Roman" w:eastAsia="宋体" w:hAnsi="宋体" w:cs="宋体" w:hint="eastAsia"/>
          <w:sz w:val="24"/>
          <w:szCs w:val="24"/>
        </w:rPr>
        <w:t>修订基金合同</w:t>
      </w:r>
      <w:r w:rsidR="00EC0226">
        <w:rPr>
          <w:rFonts w:ascii="Times New Roman" w:eastAsia="宋体" w:hAnsi="宋体" w:cs="宋体" w:hint="eastAsia"/>
          <w:sz w:val="24"/>
          <w:szCs w:val="24"/>
        </w:rPr>
        <w:t>、托管协议</w:t>
      </w:r>
      <w:r w:rsidRPr="00740C88">
        <w:rPr>
          <w:rFonts w:ascii="Times New Roman" w:eastAsia="宋体" w:hAnsi="宋体" w:cs="宋体" w:hint="eastAsia"/>
          <w:sz w:val="24"/>
          <w:szCs w:val="24"/>
        </w:rPr>
        <w:t>等法律文件，包括明确投资范围包含存托凭证、增加存</w:t>
      </w:r>
      <w:r w:rsidR="00871EB3">
        <w:rPr>
          <w:rFonts w:ascii="Times New Roman" w:eastAsia="宋体" w:hAnsi="宋体" w:cs="宋体" w:hint="eastAsia"/>
          <w:sz w:val="24"/>
          <w:szCs w:val="24"/>
        </w:rPr>
        <w:t>托凭证的投资策略、投资比例限制、估值方法等</w:t>
      </w:r>
      <w:r w:rsidRPr="00740C88">
        <w:rPr>
          <w:rFonts w:ascii="Times New Roman" w:eastAsia="宋体" w:hAnsi="宋体" w:cs="宋体" w:hint="eastAsia"/>
          <w:sz w:val="24"/>
          <w:szCs w:val="24"/>
        </w:rPr>
        <w:t>。现将基金合同、</w:t>
      </w:r>
      <w:r w:rsidR="00B71CBD">
        <w:rPr>
          <w:rFonts w:ascii="Times New Roman" w:eastAsia="宋体" w:hAnsi="宋体" w:cs="宋体" w:hint="eastAsia"/>
          <w:sz w:val="24"/>
          <w:szCs w:val="24"/>
        </w:rPr>
        <w:t>托管协议</w:t>
      </w:r>
      <w:r w:rsidRPr="00740C88">
        <w:rPr>
          <w:rFonts w:ascii="Times New Roman" w:eastAsia="宋体" w:hAnsi="宋体" w:cs="宋体" w:hint="eastAsia"/>
          <w:sz w:val="24"/>
          <w:szCs w:val="24"/>
        </w:rPr>
        <w:t>修订情况公告如下：</w:t>
      </w:r>
    </w:p>
    <w:p w:rsidR="00C31268" w:rsidRPr="00941F39" w:rsidRDefault="00D5550B" w:rsidP="00D5550B">
      <w:pPr>
        <w:pStyle w:val="Default"/>
        <w:spacing w:line="360" w:lineRule="auto"/>
        <w:ind w:rightChars="40" w:right="84" w:firstLineChars="200" w:firstLine="482"/>
        <w:rPr>
          <w:rFonts w:cstheme="minorBidi"/>
          <w:b/>
          <w:color w:val="auto"/>
        </w:rPr>
      </w:pPr>
      <w:r w:rsidRPr="00941F39">
        <w:rPr>
          <w:rFonts w:cstheme="minorBidi" w:hint="eastAsia"/>
          <w:b/>
          <w:color w:val="auto"/>
        </w:rPr>
        <w:t>一、</w:t>
      </w:r>
      <w:r w:rsidR="00E709EC">
        <w:rPr>
          <w:rFonts w:cstheme="minorBidi" w:hint="eastAsia"/>
          <w:b/>
          <w:color w:val="auto"/>
        </w:rPr>
        <w:t>本次修订的基金</w:t>
      </w:r>
      <w:r w:rsidR="005944D0">
        <w:rPr>
          <w:rFonts w:cstheme="minorBidi" w:hint="eastAsia"/>
          <w:b/>
          <w:color w:val="auto"/>
        </w:rPr>
        <w:t>范围</w:t>
      </w:r>
    </w:p>
    <w:p w:rsidR="00941F39" w:rsidRDefault="00D5550B" w:rsidP="00740C88">
      <w:pPr>
        <w:spacing w:line="360" w:lineRule="auto"/>
        <w:ind w:rightChars="40" w:right="84" w:firstLineChars="200" w:firstLine="480"/>
        <w:rPr>
          <w:rFonts w:ascii="Times New Roman" w:eastAsia="宋体" w:hAnsi="宋体" w:cs="宋体"/>
          <w:sz w:val="24"/>
          <w:szCs w:val="24"/>
        </w:rPr>
      </w:pPr>
      <w:r>
        <w:rPr>
          <w:rFonts w:ascii="Times New Roman" w:eastAsia="宋体" w:hAnsi="宋体" w:cs="宋体" w:hint="eastAsia"/>
          <w:sz w:val="24"/>
          <w:szCs w:val="24"/>
        </w:rPr>
        <w:t>本次修订涉及</w:t>
      </w:r>
      <w:r w:rsidR="00F866DB" w:rsidRPr="00740C88">
        <w:rPr>
          <w:rFonts w:ascii="Times New Roman" w:eastAsia="宋体" w:hAnsi="宋体" w:cs="宋体" w:hint="eastAsia"/>
          <w:sz w:val="24"/>
          <w:szCs w:val="24"/>
        </w:rPr>
        <w:t>基金管理人</w:t>
      </w:r>
      <w:r w:rsidRPr="00740C88">
        <w:rPr>
          <w:rFonts w:ascii="Times New Roman" w:eastAsia="宋体" w:hAnsi="宋体" w:cs="宋体" w:hint="eastAsia"/>
          <w:sz w:val="24"/>
          <w:szCs w:val="24"/>
        </w:rPr>
        <w:t>旗下</w:t>
      </w:r>
      <w:r w:rsidR="00FB3960">
        <w:rPr>
          <w:rFonts w:ascii="Times New Roman" w:eastAsia="宋体" w:hAnsi="宋体" w:cs="宋体"/>
          <w:sz w:val="24"/>
          <w:szCs w:val="24"/>
        </w:rPr>
        <w:t>9</w:t>
      </w:r>
      <w:r w:rsidRPr="00740C88">
        <w:rPr>
          <w:rFonts w:ascii="Times New Roman" w:eastAsia="宋体" w:hAnsi="宋体" w:cs="宋体" w:hint="eastAsia"/>
          <w:sz w:val="24"/>
          <w:szCs w:val="24"/>
        </w:rPr>
        <w:t>只公募基金</w:t>
      </w:r>
      <w:r>
        <w:rPr>
          <w:rFonts w:ascii="Times New Roman" w:eastAsia="宋体" w:hAnsi="宋体" w:cs="宋体" w:hint="eastAsia"/>
          <w:sz w:val="24"/>
          <w:szCs w:val="24"/>
        </w:rPr>
        <w:t>，</w:t>
      </w:r>
      <w:r w:rsidR="00C3173C">
        <w:rPr>
          <w:rFonts w:ascii="Times New Roman" w:eastAsia="宋体" w:hAnsi="宋体" w:cs="宋体" w:hint="eastAsia"/>
          <w:sz w:val="24"/>
          <w:szCs w:val="24"/>
        </w:rPr>
        <w:t>详细名单如下：</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1"/>
        <w:gridCol w:w="6384"/>
      </w:tblGrid>
      <w:tr w:rsidR="000F0BA9" w:rsidTr="00B60641">
        <w:trPr>
          <w:trHeight w:val="560"/>
        </w:trPr>
        <w:tc>
          <w:tcPr>
            <w:tcW w:w="841" w:type="dxa"/>
            <w:noWrap/>
            <w:tcMar>
              <w:top w:w="0" w:type="dxa"/>
              <w:left w:w="108" w:type="dxa"/>
              <w:bottom w:w="0" w:type="dxa"/>
              <w:right w:w="108" w:type="dxa"/>
            </w:tcMar>
            <w:vAlign w:val="center"/>
            <w:hideMark/>
          </w:tcPr>
          <w:p w:rsidR="009F48BB" w:rsidRPr="004669C7" w:rsidRDefault="00D5550B" w:rsidP="00920A5D">
            <w:pPr>
              <w:jc w:val="center"/>
              <w:rPr>
                <w:rFonts w:ascii="宋体" w:eastAsia="宋体" w:hAnsi="宋体"/>
                <w:color w:val="000000"/>
                <w:szCs w:val="21"/>
              </w:rPr>
            </w:pPr>
            <w:r w:rsidRPr="004669C7">
              <w:rPr>
                <w:rFonts w:ascii="宋体" w:eastAsia="宋体" w:hAnsi="宋体" w:hint="eastAsia"/>
                <w:color w:val="000000"/>
                <w:szCs w:val="21"/>
              </w:rPr>
              <w:t>序号</w:t>
            </w:r>
          </w:p>
        </w:tc>
        <w:tc>
          <w:tcPr>
            <w:tcW w:w="6384" w:type="dxa"/>
            <w:tcMar>
              <w:top w:w="0" w:type="dxa"/>
              <w:left w:w="108" w:type="dxa"/>
              <w:bottom w:w="0" w:type="dxa"/>
              <w:right w:w="108" w:type="dxa"/>
            </w:tcMar>
            <w:vAlign w:val="center"/>
            <w:hideMark/>
          </w:tcPr>
          <w:p w:rsidR="009F48BB" w:rsidRPr="004669C7" w:rsidRDefault="00D5550B" w:rsidP="00920A5D">
            <w:pPr>
              <w:jc w:val="center"/>
              <w:rPr>
                <w:rFonts w:ascii="宋体" w:eastAsia="宋体" w:hAnsi="宋体"/>
                <w:color w:val="000000"/>
                <w:szCs w:val="21"/>
              </w:rPr>
            </w:pPr>
            <w:r w:rsidRPr="004669C7">
              <w:rPr>
                <w:rFonts w:ascii="宋体" w:eastAsia="宋体" w:hAnsi="宋体" w:hint="eastAsia"/>
                <w:color w:val="000000"/>
                <w:szCs w:val="21"/>
              </w:rPr>
              <w:t>基金名称</w:t>
            </w:r>
          </w:p>
        </w:tc>
      </w:tr>
      <w:tr w:rsidR="000F0BA9" w:rsidTr="00B60641">
        <w:trPr>
          <w:trHeight w:val="280"/>
        </w:trPr>
        <w:tc>
          <w:tcPr>
            <w:tcW w:w="841" w:type="dxa"/>
            <w:noWrap/>
            <w:tcMar>
              <w:top w:w="0" w:type="dxa"/>
              <w:left w:w="108" w:type="dxa"/>
              <w:bottom w:w="0" w:type="dxa"/>
              <w:right w:w="108" w:type="dxa"/>
            </w:tcMar>
            <w:vAlign w:val="center"/>
            <w:hideMark/>
          </w:tcPr>
          <w:p w:rsidR="00782CFC" w:rsidRPr="004669C7" w:rsidRDefault="00D5550B" w:rsidP="00782CFC">
            <w:pPr>
              <w:jc w:val="center"/>
              <w:rPr>
                <w:rFonts w:ascii="宋体" w:eastAsia="宋体" w:hAnsi="宋体"/>
                <w:color w:val="000000"/>
                <w:szCs w:val="21"/>
              </w:rPr>
            </w:pPr>
            <w:r w:rsidRPr="004669C7">
              <w:rPr>
                <w:rFonts w:ascii="宋体" w:eastAsia="宋体" w:hAnsi="宋体" w:hint="eastAsia"/>
                <w:color w:val="000000"/>
                <w:szCs w:val="21"/>
              </w:rPr>
              <w:t>1</w:t>
            </w:r>
          </w:p>
        </w:tc>
        <w:tc>
          <w:tcPr>
            <w:tcW w:w="6384" w:type="dxa"/>
            <w:noWrap/>
            <w:tcMar>
              <w:top w:w="0" w:type="dxa"/>
              <w:left w:w="108" w:type="dxa"/>
              <w:bottom w:w="0" w:type="dxa"/>
              <w:right w:w="108" w:type="dxa"/>
            </w:tcMar>
            <w:vAlign w:val="bottom"/>
          </w:tcPr>
          <w:p w:rsidR="00782CFC" w:rsidRPr="004669C7" w:rsidRDefault="00D5550B" w:rsidP="00782CFC">
            <w:pPr>
              <w:jc w:val="left"/>
              <w:rPr>
                <w:rFonts w:ascii="宋体" w:eastAsia="宋体" w:hAnsi="宋体"/>
                <w:color w:val="000000"/>
                <w:szCs w:val="21"/>
              </w:rPr>
            </w:pPr>
            <w:r w:rsidRPr="004669C7">
              <w:rPr>
                <w:rFonts w:ascii="Arial" w:hAnsi="Arial" w:cs="Arial"/>
                <w:szCs w:val="21"/>
              </w:rPr>
              <w:t>易方达竞争优势企业混合型证券投资基金</w:t>
            </w:r>
          </w:p>
        </w:tc>
      </w:tr>
      <w:tr w:rsidR="000F0BA9" w:rsidTr="00B60641">
        <w:trPr>
          <w:trHeight w:val="280"/>
        </w:trPr>
        <w:tc>
          <w:tcPr>
            <w:tcW w:w="841" w:type="dxa"/>
            <w:noWrap/>
            <w:tcMar>
              <w:top w:w="0" w:type="dxa"/>
              <w:left w:w="108" w:type="dxa"/>
              <w:bottom w:w="0" w:type="dxa"/>
              <w:right w:w="108" w:type="dxa"/>
            </w:tcMar>
            <w:vAlign w:val="center"/>
            <w:hideMark/>
          </w:tcPr>
          <w:p w:rsidR="00782CFC" w:rsidRPr="004669C7" w:rsidRDefault="00D5550B" w:rsidP="00782CFC">
            <w:pPr>
              <w:jc w:val="center"/>
              <w:rPr>
                <w:rFonts w:ascii="宋体" w:eastAsia="宋体" w:hAnsi="宋体"/>
                <w:color w:val="000000"/>
                <w:szCs w:val="21"/>
              </w:rPr>
            </w:pPr>
            <w:r w:rsidRPr="004669C7">
              <w:rPr>
                <w:rFonts w:ascii="宋体" w:eastAsia="宋体" w:hAnsi="宋体" w:hint="eastAsia"/>
                <w:color w:val="000000"/>
                <w:szCs w:val="21"/>
              </w:rPr>
              <w:t>2</w:t>
            </w:r>
          </w:p>
        </w:tc>
        <w:tc>
          <w:tcPr>
            <w:tcW w:w="6384" w:type="dxa"/>
            <w:noWrap/>
            <w:tcMar>
              <w:top w:w="0" w:type="dxa"/>
              <w:left w:w="108" w:type="dxa"/>
              <w:bottom w:w="0" w:type="dxa"/>
              <w:right w:w="108" w:type="dxa"/>
            </w:tcMar>
            <w:vAlign w:val="bottom"/>
          </w:tcPr>
          <w:p w:rsidR="00782CFC" w:rsidRPr="004669C7" w:rsidRDefault="00D5550B" w:rsidP="00782CFC">
            <w:pPr>
              <w:jc w:val="left"/>
              <w:rPr>
                <w:rFonts w:ascii="宋体" w:eastAsia="宋体" w:hAnsi="宋体"/>
                <w:color w:val="000000"/>
                <w:szCs w:val="21"/>
              </w:rPr>
            </w:pPr>
            <w:r w:rsidRPr="004669C7">
              <w:rPr>
                <w:rFonts w:ascii="Arial" w:hAnsi="Arial" w:cs="Arial"/>
                <w:szCs w:val="21"/>
              </w:rPr>
              <w:t>易方达科益混合型证券投资基金</w:t>
            </w:r>
          </w:p>
        </w:tc>
      </w:tr>
      <w:tr w:rsidR="000F0BA9" w:rsidTr="00B60641">
        <w:trPr>
          <w:trHeight w:val="280"/>
        </w:trPr>
        <w:tc>
          <w:tcPr>
            <w:tcW w:w="841" w:type="dxa"/>
            <w:noWrap/>
            <w:tcMar>
              <w:top w:w="0" w:type="dxa"/>
              <w:left w:w="108" w:type="dxa"/>
              <w:bottom w:w="0" w:type="dxa"/>
              <w:right w:w="108" w:type="dxa"/>
            </w:tcMar>
            <w:vAlign w:val="center"/>
            <w:hideMark/>
          </w:tcPr>
          <w:p w:rsidR="00782CFC" w:rsidRPr="004669C7" w:rsidRDefault="00D5550B" w:rsidP="00782CFC">
            <w:pPr>
              <w:jc w:val="center"/>
              <w:rPr>
                <w:rFonts w:ascii="宋体" w:eastAsia="宋体" w:hAnsi="宋体"/>
                <w:color w:val="000000"/>
                <w:szCs w:val="21"/>
              </w:rPr>
            </w:pPr>
            <w:r w:rsidRPr="004669C7">
              <w:rPr>
                <w:rFonts w:ascii="宋体" w:eastAsia="宋体" w:hAnsi="宋体" w:hint="eastAsia"/>
                <w:color w:val="000000"/>
                <w:szCs w:val="21"/>
              </w:rPr>
              <w:t>3</w:t>
            </w:r>
          </w:p>
        </w:tc>
        <w:tc>
          <w:tcPr>
            <w:tcW w:w="6384" w:type="dxa"/>
            <w:noWrap/>
            <w:tcMar>
              <w:top w:w="0" w:type="dxa"/>
              <w:left w:w="108" w:type="dxa"/>
              <w:bottom w:w="0" w:type="dxa"/>
              <w:right w:w="108" w:type="dxa"/>
            </w:tcMar>
            <w:vAlign w:val="bottom"/>
          </w:tcPr>
          <w:p w:rsidR="00782CFC" w:rsidRPr="004669C7" w:rsidRDefault="00D5550B" w:rsidP="00782CFC">
            <w:pPr>
              <w:jc w:val="left"/>
              <w:rPr>
                <w:rFonts w:ascii="宋体" w:eastAsia="宋体" w:hAnsi="宋体"/>
                <w:color w:val="000000"/>
                <w:szCs w:val="21"/>
              </w:rPr>
            </w:pPr>
            <w:r w:rsidRPr="004669C7">
              <w:rPr>
                <w:rFonts w:ascii="Arial" w:hAnsi="Arial" w:cs="Arial"/>
                <w:szCs w:val="21"/>
              </w:rPr>
              <w:t>易方达高质量严选三年持有期混合型证券投资基金</w:t>
            </w:r>
          </w:p>
        </w:tc>
      </w:tr>
      <w:tr w:rsidR="000F0BA9" w:rsidTr="00B60641">
        <w:trPr>
          <w:trHeight w:val="280"/>
        </w:trPr>
        <w:tc>
          <w:tcPr>
            <w:tcW w:w="841" w:type="dxa"/>
            <w:noWrap/>
            <w:tcMar>
              <w:top w:w="0" w:type="dxa"/>
              <w:left w:w="108" w:type="dxa"/>
              <w:bottom w:w="0" w:type="dxa"/>
              <w:right w:w="108" w:type="dxa"/>
            </w:tcMar>
            <w:vAlign w:val="center"/>
            <w:hideMark/>
          </w:tcPr>
          <w:p w:rsidR="00782CFC" w:rsidRPr="004669C7" w:rsidRDefault="00D5550B" w:rsidP="00782CFC">
            <w:pPr>
              <w:jc w:val="center"/>
              <w:rPr>
                <w:rFonts w:ascii="宋体" w:eastAsia="宋体" w:hAnsi="宋体"/>
                <w:color w:val="000000"/>
                <w:szCs w:val="21"/>
              </w:rPr>
            </w:pPr>
            <w:r w:rsidRPr="004669C7">
              <w:rPr>
                <w:rFonts w:ascii="宋体" w:eastAsia="宋体" w:hAnsi="宋体" w:hint="eastAsia"/>
                <w:color w:val="000000"/>
                <w:szCs w:val="21"/>
              </w:rPr>
              <w:t>4</w:t>
            </w:r>
          </w:p>
        </w:tc>
        <w:tc>
          <w:tcPr>
            <w:tcW w:w="6384" w:type="dxa"/>
            <w:noWrap/>
            <w:tcMar>
              <w:top w:w="0" w:type="dxa"/>
              <w:left w:w="108" w:type="dxa"/>
              <w:bottom w:w="0" w:type="dxa"/>
              <w:right w:w="108" w:type="dxa"/>
            </w:tcMar>
            <w:vAlign w:val="bottom"/>
          </w:tcPr>
          <w:p w:rsidR="00782CFC" w:rsidRPr="004669C7" w:rsidRDefault="00D5550B" w:rsidP="00782CFC">
            <w:pPr>
              <w:jc w:val="left"/>
              <w:rPr>
                <w:rFonts w:ascii="宋体" w:eastAsia="宋体" w:hAnsi="宋体"/>
                <w:color w:val="000000"/>
                <w:szCs w:val="21"/>
              </w:rPr>
            </w:pPr>
            <w:r w:rsidRPr="004669C7">
              <w:rPr>
                <w:rFonts w:ascii="Arial" w:hAnsi="Arial" w:cs="Arial"/>
                <w:szCs w:val="21"/>
              </w:rPr>
              <w:t>易方达医药生物股票型证券投资基金</w:t>
            </w:r>
          </w:p>
        </w:tc>
      </w:tr>
      <w:tr w:rsidR="000F0BA9" w:rsidTr="00B60641">
        <w:trPr>
          <w:trHeight w:val="280"/>
        </w:trPr>
        <w:tc>
          <w:tcPr>
            <w:tcW w:w="841" w:type="dxa"/>
            <w:noWrap/>
            <w:tcMar>
              <w:top w:w="0" w:type="dxa"/>
              <w:left w:w="108" w:type="dxa"/>
              <w:bottom w:w="0" w:type="dxa"/>
              <w:right w:w="108" w:type="dxa"/>
            </w:tcMar>
            <w:vAlign w:val="center"/>
            <w:hideMark/>
          </w:tcPr>
          <w:p w:rsidR="00782CFC" w:rsidRPr="004669C7" w:rsidRDefault="00D5550B" w:rsidP="00782CFC">
            <w:pPr>
              <w:jc w:val="center"/>
              <w:rPr>
                <w:rFonts w:ascii="宋体" w:eastAsia="宋体" w:hAnsi="宋体"/>
                <w:color w:val="000000"/>
                <w:szCs w:val="21"/>
              </w:rPr>
            </w:pPr>
            <w:r w:rsidRPr="004669C7">
              <w:rPr>
                <w:rFonts w:ascii="宋体" w:eastAsia="宋体" w:hAnsi="宋体" w:hint="eastAsia"/>
                <w:color w:val="000000"/>
                <w:szCs w:val="21"/>
              </w:rPr>
              <w:t>5</w:t>
            </w:r>
          </w:p>
        </w:tc>
        <w:tc>
          <w:tcPr>
            <w:tcW w:w="6384" w:type="dxa"/>
            <w:noWrap/>
            <w:tcMar>
              <w:top w:w="0" w:type="dxa"/>
              <w:left w:w="108" w:type="dxa"/>
              <w:bottom w:w="0" w:type="dxa"/>
              <w:right w:w="108" w:type="dxa"/>
            </w:tcMar>
            <w:vAlign w:val="bottom"/>
          </w:tcPr>
          <w:p w:rsidR="00782CFC" w:rsidRPr="004669C7" w:rsidRDefault="00D5550B" w:rsidP="00782CFC">
            <w:pPr>
              <w:jc w:val="left"/>
              <w:rPr>
                <w:rFonts w:ascii="宋体" w:eastAsia="宋体" w:hAnsi="宋体"/>
                <w:color w:val="000000"/>
                <w:szCs w:val="21"/>
              </w:rPr>
            </w:pPr>
            <w:r w:rsidRPr="004669C7">
              <w:rPr>
                <w:rFonts w:ascii="Arial" w:hAnsi="Arial" w:cs="Arial"/>
                <w:szCs w:val="21"/>
              </w:rPr>
              <w:t>易方达核心优势股票型证券投资基金</w:t>
            </w:r>
          </w:p>
        </w:tc>
      </w:tr>
      <w:tr w:rsidR="000F0BA9" w:rsidTr="00B60641">
        <w:trPr>
          <w:trHeight w:val="280"/>
        </w:trPr>
        <w:tc>
          <w:tcPr>
            <w:tcW w:w="841" w:type="dxa"/>
            <w:noWrap/>
            <w:tcMar>
              <w:top w:w="0" w:type="dxa"/>
              <w:left w:w="108" w:type="dxa"/>
              <w:bottom w:w="0" w:type="dxa"/>
              <w:right w:w="108" w:type="dxa"/>
            </w:tcMar>
            <w:vAlign w:val="center"/>
          </w:tcPr>
          <w:p w:rsidR="00782CFC" w:rsidRPr="004669C7" w:rsidRDefault="00D5550B" w:rsidP="00782CFC">
            <w:pPr>
              <w:jc w:val="center"/>
              <w:rPr>
                <w:rFonts w:ascii="宋体" w:eastAsia="宋体" w:hAnsi="宋体"/>
                <w:color w:val="000000"/>
                <w:szCs w:val="21"/>
              </w:rPr>
            </w:pPr>
            <w:r w:rsidRPr="004669C7">
              <w:rPr>
                <w:rFonts w:ascii="宋体" w:eastAsia="宋体" w:hAnsi="宋体" w:hint="eastAsia"/>
                <w:color w:val="000000"/>
                <w:szCs w:val="21"/>
              </w:rPr>
              <w:t>6</w:t>
            </w:r>
          </w:p>
        </w:tc>
        <w:tc>
          <w:tcPr>
            <w:tcW w:w="6384" w:type="dxa"/>
            <w:noWrap/>
            <w:tcMar>
              <w:top w:w="0" w:type="dxa"/>
              <w:left w:w="108" w:type="dxa"/>
              <w:bottom w:w="0" w:type="dxa"/>
              <w:right w:w="108" w:type="dxa"/>
            </w:tcMar>
            <w:vAlign w:val="bottom"/>
          </w:tcPr>
          <w:p w:rsidR="00782CFC" w:rsidRPr="004669C7" w:rsidRDefault="00D5550B" w:rsidP="00782CFC">
            <w:pPr>
              <w:jc w:val="left"/>
              <w:rPr>
                <w:rFonts w:ascii="Arial" w:hAnsi="Arial" w:cs="Arial"/>
                <w:szCs w:val="21"/>
              </w:rPr>
            </w:pPr>
            <w:r w:rsidRPr="004669C7">
              <w:rPr>
                <w:rFonts w:ascii="Arial" w:hAnsi="Arial" w:cs="Arial"/>
                <w:szCs w:val="21"/>
              </w:rPr>
              <w:t>易方达战略新兴产业股票型证券投资基金</w:t>
            </w:r>
          </w:p>
        </w:tc>
      </w:tr>
      <w:tr w:rsidR="000F0BA9" w:rsidTr="00B60641">
        <w:trPr>
          <w:trHeight w:val="280"/>
        </w:trPr>
        <w:tc>
          <w:tcPr>
            <w:tcW w:w="841" w:type="dxa"/>
            <w:noWrap/>
            <w:tcMar>
              <w:top w:w="0" w:type="dxa"/>
              <w:left w:w="108" w:type="dxa"/>
              <w:bottom w:w="0" w:type="dxa"/>
              <w:right w:w="108" w:type="dxa"/>
            </w:tcMar>
            <w:vAlign w:val="center"/>
          </w:tcPr>
          <w:p w:rsidR="00782CFC" w:rsidRPr="004669C7" w:rsidRDefault="00D5550B" w:rsidP="00782CFC">
            <w:pPr>
              <w:jc w:val="center"/>
              <w:rPr>
                <w:rFonts w:ascii="宋体" w:eastAsia="宋体" w:hAnsi="宋体"/>
                <w:color w:val="000000"/>
                <w:szCs w:val="21"/>
              </w:rPr>
            </w:pPr>
            <w:r w:rsidRPr="004669C7">
              <w:rPr>
                <w:rFonts w:ascii="宋体" w:eastAsia="宋体" w:hAnsi="宋体" w:hint="eastAsia"/>
                <w:color w:val="000000"/>
                <w:szCs w:val="21"/>
              </w:rPr>
              <w:t>7</w:t>
            </w:r>
          </w:p>
        </w:tc>
        <w:tc>
          <w:tcPr>
            <w:tcW w:w="6384" w:type="dxa"/>
            <w:noWrap/>
            <w:tcMar>
              <w:top w:w="0" w:type="dxa"/>
              <w:left w:w="108" w:type="dxa"/>
              <w:bottom w:w="0" w:type="dxa"/>
              <w:right w:w="108" w:type="dxa"/>
            </w:tcMar>
            <w:vAlign w:val="bottom"/>
          </w:tcPr>
          <w:p w:rsidR="00782CFC" w:rsidRPr="004669C7" w:rsidRDefault="00D5550B" w:rsidP="00782CFC">
            <w:pPr>
              <w:jc w:val="left"/>
              <w:rPr>
                <w:rFonts w:ascii="Arial" w:hAnsi="Arial" w:cs="Arial"/>
                <w:szCs w:val="21"/>
              </w:rPr>
            </w:pPr>
            <w:r w:rsidRPr="004669C7">
              <w:rPr>
                <w:rFonts w:ascii="Arial" w:hAnsi="Arial" w:cs="Arial"/>
                <w:szCs w:val="21"/>
              </w:rPr>
              <w:t>易方达远见成长混合型证券投资基金</w:t>
            </w:r>
          </w:p>
        </w:tc>
      </w:tr>
      <w:tr w:rsidR="000F0BA9" w:rsidTr="00B60641">
        <w:trPr>
          <w:trHeight w:val="280"/>
        </w:trPr>
        <w:tc>
          <w:tcPr>
            <w:tcW w:w="841" w:type="dxa"/>
            <w:noWrap/>
            <w:tcMar>
              <w:top w:w="0" w:type="dxa"/>
              <w:left w:w="108" w:type="dxa"/>
              <w:bottom w:w="0" w:type="dxa"/>
              <w:right w:w="108" w:type="dxa"/>
            </w:tcMar>
            <w:vAlign w:val="center"/>
            <w:hideMark/>
          </w:tcPr>
          <w:p w:rsidR="00782CFC" w:rsidRPr="004669C7" w:rsidRDefault="00D5550B" w:rsidP="00782CFC">
            <w:pPr>
              <w:jc w:val="center"/>
              <w:rPr>
                <w:rFonts w:ascii="宋体" w:eastAsia="宋体" w:hAnsi="宋体"/>
                <w:color w:val="000000"/>
                <w:szCs w:val="21"/>
              </w:rPr>
            </w:pPr>
            <w:r w:rsidRPr="004669C7">
              <w:rPr>
                <w:rFonts w:ascii="宋体" w:eastAsia="宋体" w:hAnsi="宋体"/>
                <w:color w:val="000000"/>
                <w:szCs w:val="21"/>
              </w:rPr>
              <w:t>8</w:t>
            </w:r>
          </w:p>
        </w:tc>
        <w:tc>
          <w:tcPr>
            <w:tcW w:w="6384" w:type="dxa"/>
            <w:noWrap/>
            <w:tcMar>
              <w:top w:w="0" w:type="dxa"/>
              <w:left w:w="108" w:type="dxa"/>
              <w:bottom w:w="0" w:type="dxa"/>
              <w:right w:w="108" w:type="dxa"/>
            </w:tcMar>
            <w:vAlign w:val="bottom"/>
          </w:tcPr>
          <w:p w:rsidR="00782CFC" w:rsidRPr="004669C7" w:rsidRDefault="00D5550B" w:rsidP="004669C7">
            <w:pPr>
              <w:jc w:val="left"/>
              <w:rPr>
                <w:rFonts w:eastAsia="宋体" w:cstheme="minorHAnsi"/>
                <w:color w:val="000000"/>
                <w:szCs w:val="21"/>
              </w:rPr>
            </w:pPr>
            <w:r w:rsidRPr="004669C7">
              <w:rPr>
                <w:rFonts w:cstheme="minorHAnsi"/>
                <w:szCs w:val="21"/>
              </w:rPr>
              <w:t>易方达中证万得并购重组指数证券投资基金</w:t>
            </w:r>
            <w:r w:rsidR="004669C7" w:rsidRPr="004669C7">
              <w:rPr>
                <w:rFonts w:ascii="宋体" w:eastAsia="宋体" w:hAnsi="宋体" w:cstheme="minorHAnsi"/>
                <w:szCs w:val="21"/>
              </w:rPr>
              <w:t>（</w:t>
            </w:r>
            <w:r w:rsidRPr="004669C7">
              <w:rPr>
                <w:rFonts w:ascii="宋体" w:eastAsia="宋体" w:hAnsi="宋体" w:cstheme="minorHAnsi"/>
                <w:szCs w:val="21"/>
              </w:rPr>
              <w:t>LOF</w:t>
            </w:r>
            <w:r w:rsidR="004669C7" w:rsidRPr="004669C7">
              <w:rPr>
                <w:rFonts w:ascii="宋体" w:eastAsia="宋体" w:hAnsi="宋体" w:cstheme="minorHAnsi"/>
                <w:szCs w:val="21"/>
              </w:rPr>
              <w:t>）</w:t>
            </w:r>
          </w:p>
        </w:tc>
      </w:tr>
      <w:tr w:rsidR="000F0BA9" w:rsidTr="00B60641">
        <w:trPr>
          <w:trHeight w:val="280"/>
        </w:trPr>
        <w:tc>
          <w:tcPr>
            <w:tcW w:w="841" w:type="dxa"/>
            <w:noWrap/>
            <w:tcMar>
              <w:top w:w="0" w:type="dxa"/>
              <w:left w:w="108" w:type="dxa"/>
              <w:bottom w:w="0" w:type="dxa"/>
              <w:right w:w="108" w:type="dxa"/>
            </w:tcMar>
            <w:vAlign w:val="center"/>
            <w:hideMark/>
          </w:tcPr>
          <w:p w:rsidR="00782CFC" w:rsidRPr="004669C7" w:rsidRDefault="00D5550B" w:rsidP="00782CFC">
            <w:pPr>
              <w:jc w:val="center"/>
              <w:rPr>
                <w:rFonts w:ascii="宋体" w:eastAsia="宋体" w:hAnsi="宋体"/>
                <w:color w:val="000000"/>
                <w:szCs w:val="21"/>
              </w:rPr>
            </w:pPr>
            <w:r w:rsidRPr="004669C7">
              <w:rPr>
                <w:rFonts w:ascii="宋体" w:eastAsia="宋体" w:hAnsi="宋体"/>
                <w:color w:val="000000"/>
                <w:szCs w:val="21"/>
              </w:rPr>
              <w:t>9</w:t>
            </w:r>
          </w:p>
        </w:tc>
        <w:tc>
          <w:tcPr>
            <w:tcW w:w="6384" w:type="dxa"/>
            <w:noWrap/>
            <w:tcMar>
              <w:top w:w="0" w:type="dxa"/>
              <w:left w:w="108" w:type="dxa"/>
              <w:bottom w:w="0" w:type="dxa"/>
              <w:right w:w="108" w:type="dxa"/>
            </w:tcMar>
            <w:vAlign w:val="bottom"/>
          </w:tcPr>
          <w:p w:rsidR="00782CFC" w:rsidRPr="004669C7" w:rsidRDefault="00D5550B" w:rsidP="00782CFC">
            <w:pPr>
              <w:jc w:val="left"/>
              <w:rPr>
                <w:rFonts w:eastAsia="宋体" w:cstheme="minorHAnsi"/>
                <w:color w:val="000000"/>
                <w:szCs w:val="21"/>
              </w:rPr>
            </w:pPr>
            <w:r w:rsidRPr="004669C7">
              <w:rPr>
                <w:rFonts w:cstheme="minorHAnsi"/>
                <w:szCs w:val="21"/>
              </w:rPr>
              <w:t>易方达中证万得生物科技指数证券投资基金</w:t>
            </w:r>
            <w:r w:rsidR="004669C7" w:rsidRPr="004669C7">
              <w:rPr>
                <w:rFonts w:ascii="宋体" w:eastAsia="宋体" w:hAnsi="宋体" w:cstheme="minorHAnsi"/>
                <w:szCs w:val="21"/>
              </w:rPr>
              <w:t>（LOF）</w:t>
            </w:r>
          </w:p>
        </w:tc>
      </w:tr>
    </w:tbl>
    <w:p w:rsidR="002E6AC2" w:rsidRPr="00CE6E32" w:rsidRDefault="00D5550B" w:rsidP="00D5550B">
      <w:pPr>
        <w:pStyle w:val="Default"/>
        <w:spacing w:line="360" w:lineRule="auto"/>
        <w:ind w:rightChars="40" w:right="84" w:firstLineChars="200" w:firstLine="482"/>
        <w:rPr>
          <w:rFonts w:cstheme="minorBidi"/>
          <w:b/>
          <w:color w:val="auto"/>
        </w:rPr>
      </w:pPr>
      <w:r>
        <w:rPr>
          <w:rFonts w:cstheme="minorBidi" w:hint="eastAsia"/>
          <w:b/>
          <w:color w:val="auto"/>
        </w:rPr>
        <w:t>二</w:t>
      </w:r>
      <w:r w:rsidRPr="00CE6E32">
        <w:rPr>
          <w:rFonts w:cstheme="minorBidi" w:hint="eastAsia"/>
          <w:b/>
          <w:color w:val="auto"/>
        </w:rPr>
        <w:t>、基金合同和托管协议修订</w:t>
      </w:r>
      <w:r w:rsidR="00AF3D56">
        <w:rPr>
          <w:rFonts w:cstheme="minorBidi" w:hint="eastAsia"/>
          <w:b/>
          <w:color w:val="auto"/>
        </w:rPr>
        <w:t>内容</w:t>
      </w:r>
    </w:p>
    <w:p w:rsidR="000F2B4C" w:rsidRDefault="00D5550B" w:rsidP="002E6AC2">
      <w:pPr>
        <w:pStyle w:val="a3"/>
        <w:spacing w:line="360" w:lineRule="auto"/>
        <w:ind w:rightChars="40" w:right="84" w:firstLine="480"/>
        <w:rPr>
          <w:rFonts w:hAnsi="宋体" w:cs="宋体"/>
          <w:kern w:val="0"/>
          <w:sz w:val="24"/>
        </w:rPr>
      </w:pPr>
      <w:r w:rsidRPr="009363C0">
        <w:rPr>
          <w:rFonts w:hAnsi="宋体" w:cs="宋体"/>
          <w:kern w:val="0"/>
          <w:sz w:val="24"/>
        </w:rPr>
        <w:t>1.</w:t>
      </w:r>
      <w:r w:rsidR="002E6AC2" w:rsidRPr="00CE6E32">
        <w:rPr>
          <w:rFonts w:hAnsi="宋体" w:cs="宋体" w:hint="eastAsia"/>
          <w:sz w:val="24"/>
        </w:rPr>
        <w:t>基金合同具体修订</w:t>
      </w:r>
      <w:r w:rsidR="002E6AC2" w:rsidRPr="00CE6E32">
        <w:rPr>
          <w:rFonts w:hAnsi="宋体" w:cs="宋体"/>
          <w:sz w:val="24"/>
        </w:rPr>
        <w:t>内容</w:t>
      </w:r>
      <w:r w:rsidR="009E7412">
        <w:rPr>
          <w:rFonts w:hAnsi="宋体" w:cs="宋体" w:hint="eastAsia"/>
          <w:sz w:val="24"/>
        </w:rPr>
        <w:t>包括</w:t>
      </w:r>
      <w:r w:rsidR="00AD23F0">
        <w:rPr>
          <w:rFonts w:hAnsi="宋体" w:cs="宋体" w:hint="eastAsia"/>
          <w:kern w:val="0"/>
          <w:sz w:val="24"/>
        </w:rPr>
        <w:t>：</w:t>
      </w:r>
    </w:p>
    <w:p w:rsidR="00A85594" w:rsidRPr="004669C7" w:rsidRDefault="00D5550B" w:rsidP="004669C7">
      <w:pPr>
        <w:spacing w:line="360" w:lineRule="auto"/>
        <w:ind w:firstLineChars="200" w:firstLine="480"/>
        <w:rPr>
          <w:rFonts w:ascii="宋体" w:hAnsi="宋体"/>
          <w:bCs/>
          <w:sz w:val="24"/>
        </w:rPr>
      </w:pPr>
      <w:r w:rsidRPr="00BC3EAD">
        <w:rPr>
          <w:rFonts w:ascii="Times New Roman" w:hAnsi="Times New Roman" w:cs="Times New Roman"/>
          <w:kern w:val="0"/>
          <w:sz w:val="24"/>
        </w:rPr>
        <w:t>（</w:t>
      </w:r>
      <w:r w:rsidR="009D734E" w:rsidRPr="00BC3EAD">
        <w:rPr>
          <w:rFonts w:ascii="Times New Roman" w:hAnsi="Times New Roman" w:cs="Times New Roman"/>
          <w:kern w:val="0"/>
          <w:sz w:val="24"/>
        </w:rPr>
        <w:t>1</w:t>
      </w:r>
      <w:r w:rsidRPr="00BC3EAD">
        <w:rPr>
          <w:rFonts w:ascii="Times New Roman" w:hAnsi="Times New Roman" w:cs="Times New Roman"/>
          <w:kern w:val="0"/>
          <w:sz w:val="24"/>
        </w:rPr>
        <w:t>）</w:t>
      </w:r>
      <w:r w:rsidR="00195539">
        <w:rPr>
          <w:rFonts w:ascii="Times New Roman" w:eastAsia="宋体" w:hAnsi="Times New Roman" w:cs="Times New Roman" w:hint="eastAsia"/>
          <w:kern w:val="0"/>
          <w:sz w:val="24"/>
          <w:szCs w:val="24"/>
        </w:rPr>
        <w:t>“</w:t>
      </w:r>
      <w:r w:rsidRPr="00BC3EAD">
        <w:rPr>
          <w:rFonts w:ascii="Times New Roman" w:eastAsia="宋体" w:hAnsi="Times New Roman" w:cs="Times New Roman"/>
          <w:kern w:val="0"/>
          <w:sz w:val="24"/>
          <w:szCs w:val="24"/>
        </w:rPr>
        <w:t>投资范围</w:t>
      </w:r>
      <w:r w:rsidR="00195539">
        <w:rPr>
          <w:rFonts w:ascii="Times New Roman" w:eastAsia="宋体" w:hAnsi="Times New Roman" w:cs="Times New Roman" w:hint="eastAsia"/>
          <w:kern w:val="0"/>
          <w:sz w:val="24"/>
          <w:szCs w:val="24"/>
        </w:rPr>
        <w:t>”</w:t>
      </w:r>
      <w:r w:rsidRPr="00BC3EAD">
        <w:rPr>
          <w:rFonts w:ascii="Times New Roman" w:eastAsia="宋体" w:hAnsi="Times New Roman" w:cs="Times New Roman"/>
          <w:kern w:val="0"/>
          <w:sz w:val="24"/>
          <w:szCs w:val="24"/>
        </w:rPr>
        <w:t>部分明确了</w:t>
      </w:r>
      <w:r w:rsidR="005944D0">
        <w:rPr>
          <w:rFonts w:ascii="Times New Roman" w:eastAsia="宋体" w:hAnsi="Times New Roman" w:cs="Times New Roman" w:hint="eastAsia"/>
          <w:kern w:val="0"/>
          <w:sz w:val="24"/>
          <w:szCs w:val="24"/>
        </w:rPr>
        <w:t>“股票”</w:t>
      </w:r>
      <w:r w:rsidRPr="00BC3EAD">
        <w:rPr>
          <w:rFonts w:ascii="Times New Roman" w:eastAsia="宋体" w:hAnsi="Times New Roman" w:cs="Times New Roman"/>
          <w:kern w:val="0"/>
          <w:sz w:val="24"/>
          <w:szCs w:val="24"/>
        </w:rPr>
        <w:t>包含存托凭证，主动基金</w:t>
      </w:r>
      <w:r w:rsidR="009D734E" w:rsidRPr="00195539">
        <w:rPr>
          <w:rFonts w:ascii="Times New Roman" w:eastAsia="宋体" w:hAnsi="Times New Roman" w:cs="Times New Roman"/>
          <w:kern w:val="0"/>
          <w:sz w:val="24"/>
          <w:szCs w:val="24"/>
        </w:rPr>
        <w:t>以</w:t>
      </w:r>
      <w:r w:rsidR="000A1133" w:rsidRPr="00195539">
        <w:rPr>
          <w:rFonts w:ascii="Times New Roman" w:eastAsia="宋体" w:hAnsi="Times New Roman" w:cs="Times New Roman"/>
          <w:kern w:val="0"/>
          <w:sz w:val="24"/>
          <w:szCs w:val="24"/>
        </w:rPr>
        <w:t>易方达竞争优势企业混合型证券投资基金</w:t>
      </w:r>
      <w:r w:rsidR="009D734E" w:rsidRPr="00BC3EAD">
        <w:rPr>
          <w:rFonts w:ascii="Times New Roman" w:hAnsi="Times New Roman" w:cs="Times New Roman"/>
          <w:kern w:val="0"/>
          <w:sz w:val="24"/>
        </w:rPr>
        <w:t>为例，投资范围修改为</w:t>
      </w:r>
      <w:r w:rsidR="00195539">
        <w:rPr>
          <w:rFonts w:ascii="Times New Roman" w:hAnsi="Times New Roman" w:cs="Times New Roman"/>
          <w:kern w:val="0"/>
          <w:sz w:val="24"/>
        </w:rPr>
        <w:t>：</w:t>
      </w:r>
      <w:r w:rsidR="00195539">
        <w:rPr>
          <w:rFonts w:ascii="Times New Roman" w:eastAsia="宋体" w:hAnsi="Times New Roman" w:cs="Times New Roman" w:hint="eastAsia"/>
          <w:kern w:val="0"/>
          <w:sz w:val="24"/>
          <w:szCs w:val="24"/>
        </w:rPr>
        <w:t>“</w:t>
      </w:r>
      <w:r w:rsidR="00195539" w:rsidRPr="00D75FFB">
        <w:rPr>
          <w:rFonts w:hint="eastAsia"/>
          <w:sz w:val="24"/>
        </w:rPr>
        <w:t>本基金的投资范围包括内地依法发行上市的股票（含中小板、创业板及其他依法发行、上市的股票</w:t>
      </w:r>
      <w:r w:rsidR="00195539">
        <w:rPr>
          <w:rFonts w:ascii="宋体" w:hAnsi="宋体" w:hint="eastAsia"/>
          <w:sz w:val="24"/>
          <w:szCs w:val="24"/>
        </w:rPr>
        <w:t>、存托凭证</w:t>
      </w:r>
      <w:r w:rsidR="00195539" w:rsidRPr="00D75FFB">
        <w:rPr>
          <w:rFonts w:hint="eastAsia"/>
          <w:sz w:val="24"/>
        </w:rPr>
        <w:t>）、</w:t>
      </w:r>
      <w:r w:rsidR="00195539" w:rsidRPr="00D75FFB">
        <w:rPr>
          <w:sz w:val="24"/>
        </w:rPr>
        <w:t>内地与香港股票市场交易互联互通机制允许买卖的香港证券市场股票（以下简称</w:t>
      </w:r>
      <w:r w:rsidR="00195539" w:rsidRPr="00D75FFB">
        <w:rPr>
          <w:sz w:val="24"/>
        </w:rPr>
        <w:t>“</w:t>
      </w:r>
      <w:r w:rsidR="00195539" w:rsidRPr="00D75FFB">
        <w:rPr>
          <w:rFonts w:hint="eastAsia"/>
          <w:sz w:val="24"/>
        </w:rPr>
        <w:t>港股通股票</w:t>
      </w:r>
      <w:r w:rsidR="00195539" w:rsidRPr="00D75FFB">
        <w:rPr>
          <w:sz w:val="24"/>
        </w:rPr>
        <w:t>”</w:t>
      </w:r>
      <w:r w:rsidR="00195539" w:rsidRPr="00D75FFB">
        <w:rPr>
          <w:rFonts w:hint="eastAsia"/>
          <w:sz w:val="24"/>
        </w:rPr>
        <w:t>）、内地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r w:rsidR="00195539">
        <w:rPr>
          <w:sz w:val="24"/>
        </w:rPr>
        <w:t>……</w:t>
      </w:r>
      <w:r w:rsidR="00195539">
        <w:rPr>
          <w:rFonts w:ascii="Times New Roman" w:eastAsia="宋体" w:hAnsi="Times New Roman" w:cs="Times New Roman" w:hint="eastAsia"/>
          <w:kern w:val="0"/>
          <w:sz w:val="24"/>
          <w:szCs w:val="24"/>
        </w:rPr>
        <w:t>”</w:t>
      </w:r>
      <w:r w:rsidRPr="00BC3EAD">
        <w:rPr>
          <w:rFonts w:ascii="Times New Roman" w:eastAsia="宋体" w:hAnsi="Times New Roman" w:cs="Times New Roman"/>
          <w:kern w:val="0"/>
          <w:sz w:val="24"/>
          <w:szCs w:val="24"/>
        </w:rPr>
        <w:t>；被动基金</w:t>
      </w:r>
      <w:r w:rsidR="00F26C6B" w:rsidRPr="00195539">
        <w:rPr>
          <w:rFonts w:ascii="Times New Roman" w:hAnsi="Times New Roman" w:cs="Times New Roman"/>
          <w:sz w:val="24"/>
        </w:rPr>
        <w:t>以</w:t>
      </w:r>
      <w:r w:rsidR="004669C7" w:rsidRPr="004669C7">
        <w:rPr>
          <w:rFonts w:ascii="Times New Roman" w:hAnsi="Times New Roman" w:cs="Times New Roman"/>
          <w:sz w:val="24"/>
        </w:rPr>
        <w:t>易方达中证万得生物科技指数证券投资基金（</w:t>
      </w:r>
      <w:r w:rsidR="004669C7" w:rsidRPr="004669C7">
        <w:rPr>
          <w:rFonts w:ascii="Times New Roman" w:hAnsi="Times New Roman" w:cs="Times New Roman"/>
          <w:sz w:val="24"/>
        </w:rPr>
        <w:t>LOF</w:t>
      </w:r>
      <w:r w:rsidR="004669C7" w:rsidRPr="004669C7">
        <w:rPr>
          <w:rFonts w:ascii="Times New Roman" w:hAnsi="Times New Roman" w:cs="Times New Roman"/>
          <w:sz w:val="24"/>
        </w:rPr>
        <w:t>）</w:t>
      </w:r>
      <w:r w:rsidR="00894C81" w:rsidRPr="00BB26CD">
        <w:rPr>
          <w:rFonts w:ascii="Times New Roman" w:hAnsi="Times New Roman" w:cs="Times New Roman"/>
          <w:sz w:val="24"/>
        </w:rPr>
        <w:t>为</w:t>
      </w:r>
      <w:r w:rsidR="00894C81" w:rsidRPr="00BC3EAD">
        <w:rPr>
          <w:rFonts w:ascii="Times New Roman" w:hAnsi="Times New Roman" w:cs="Times New Roman"/>
          <w:bCs/>
          <w:sz w:val="24"/>
        </w:rPr>
        <w:t>例，</w:t>
      </w:r>
      <w:r w:rsidR="00894C81" w:rsidRPr="00BC3EAD">
        <w:rPr>
          <w:rFonts w:ascii="Times New Roman" w:hAnsi="Times New Roman" w:cs="Times New Roman"/>
          <w:bCs/>
          <w:sz w:val="24"/>
        </w:rPr>
        <w:lastRenderedPageBreak/>
        <w:t>投资范围修改为</w:t>
      </w:r>
      <w:r w:rsidR="00195539">
        <w:rPr>
          <w:rFonts w:ascii="Times New Roman" w:hAnsi="Times New Roman" w:cs="Times New Roman"/>
          <w:bCs/>
          <w:sz w:val="24"/>
        </w:rPr>
        <w:t>：</w:t>
      </w:r>
      <w:r w:rsidR="00195539">
        <w:rPr>
          <w:rFonts w:ascii="Times New Roman" w:eastAsia="宋体" w:hAnsi="Times New Roman" w:cs="Times New Roman" w:hint="eastAsia"/>
          <w:kern w:val="0"/>
          <w:sz w:val="24"/>
          <w:szCs w:val="24"/>
        </w:rPr>
        <w:t>“</w:t>
      </w:r>
      <w:r w:rsidR="004669C7" w:rsidRPr="00F020EB">
        <w:rPr>
          <w:bCs/>
          <w:sz w:val="24"/>
        </w:rPr>
        <w:t>本基金的投资范围包括标的指数成份股及备选成份股</w:t>
      </w:r>
      <w:r w:rsidR="004669C7">
        <w:rPr>
          <w:rFonts w:hint="eastAsia"/>
          <w:bCs/>
          <w:sz w:val="24"/>
        </w:rPr>
        <w:t>（含存托凭证）</w:t>
      </w:r>
      <w:r w:rsidR="004669C7" w:rsidRPr="00F020EB">
        <w:rPr>
          <w:bCs/>
          <w:sz w:val="24"/>
        </w:rPr>
        <w:t>、除标的指数成份股及备选成份股以外的其他股票（包括创业板、中小板以及其他依法发行、上市的股票</w:t>
      </w:r>
      <w:r w:rsidR="004669C7">
        <w:rPr>
          <w:bCs/>
          <w:sz w:val="24"/>
        </w:rPr>
        <w:t>、</w:t>
      </w:r>
      <w:r w:rsidR="004669C7">
        <w:rPr>
          <w:rFonts w:hint="eastAsia"/>
          <w:bCs/>
          <w:sz w:val="24"/>
        </w:rPr>
        <w:t>存托凭证</w:t>
      </w:r>
      <w:r w:rsidR="004669C7" w:rsidRPr="00F020EB">
        <w:rPr>
          <w:bCs/>
          <w:sz w:val="24"/>
        </w:rPr>
        <w:t>）、债券、债券回购、资产支持证券、银行存款、同业存单、货币市场工具、金融衍生工具（包括股指期货、股票期权等）以及法律法规或中国证监会允许基金投资的其他金融工具</w:t>
      </w:r>
      <w:r w:rsidR="004669C7">
        <w:rPr>
          <w:bCs/>
          <w:sz w:val="24"/>
        </w:rPr>
        <w:t>……</w:t>
      </w:r>
      <w:r w:rsidR="00195539">
        <w:rPr>
          <w:rFonts w:ascii="Times New Roman" w:eastAsia="宋体" w:hAnsi="Times New Roman" w:cs="Times New Roman" w:hint="eastAsia"/>
          <w:kern w:val="0"/>
          <w:sz w:val="24"/>
          <w:szCs w:val="24"/>
        </w:rPr>
        <w:t>”。</w:t>
      </w:r>
    </w:p>
    <w:p w:rsidR="00BC3EAD" w:rsidRPr="00BC3EAD" w:rsidRDefault="00D5550B" w:rsidP="00140519">
      <w:pPr>
        <w:spacing w:line="360" w:lineRule="auto"/>
        <w:ind w:firstLine="480"/>
        <w:rPr>
          <w:rFonts w:ascii="宋体" w:cs="宋体"/>
          <w:bCs/>
          <w:kern w:val="0"/>
          <w:sz w:val="24"/>
        </w:rPr>
      </w:pPr>
      <w:r w:rsidRPr="004669C7">
        <w:rPr>
          <w:rFonts w:asciiTheme="minorEastAsia" w:hAnsiTheme="minorEastAsia"/>
          <w:kern w:val="0"/>
          <w:sz w:val="24"/>
        </w:rPr>
        <w:t>（</w:t>
      </w:r>
      <w:r w:rsidRPr="004669C7">
        <w:rPr>
          <w:rFonts w:asciiTheme="minorEastAsia" w:hAnsiTheme="minorEastAsia"/>
          <w:kern w:val="0"/>
          <w:sz w:val="24"/>
        </w:rPr>
        <w:t>2</w:t>
      </w:r>
      <w:r w:rsidRPr="004669C7">
        <w:rPr>
          <w:rFonts w:asciiTheme="minorEastAsia" w:hAnsiTheme="minorEastAsia"/>
          <w:kern w:val="0"/>
          <w:sz w:val="24"/>
        </w:rPr>
        <w:t>）</w:t>
      </w:r>
      <w:r w:rsidR="00195539" w:rsidRPr="004669C7">
        <w:rPr>
          <w:rFonts w:asciiTheme="minorEastAsia" w:hAnsiTheme="minorEastAsia" w:cs="Times New Roman" w:hint="eastAsia"/>
          <w:kern w:val="0"/>
          <w:sz w:val="24"/>
          <w:szCs w:val="24"/>
        </w:rPr>
        <w:t>“</w:t>
      </w:r>
      <w:r w:rsidRPr="00BC3EAD">
        <w:rPr>
          <w:kern w:val="0"/>
          <w:sz w:val="24"/>
        </w:rPr>
        <w:t>投资</w:t>
      </w:r>
      <w:r>
        <w:rPr>
          <w:rFonts w:hint="eastAsia"/>
          <w:kern w:val="0"/>
          <w:sz w:val="24"/>
        </w:rPr>
        <w:t>策略</w:t>
      </w:r>
      <w:r w:rsidR="00195539">
        <w:rPr>
          <w:rFonts w:ascii="Times New Roman" w:eastAsia="宋体" w:hAnsi="Times New Roman" w:cs="Times New Roman" w:hint="eastAsia"/>
          <w:kern w:val="0"/>
          <w:sz w:val="24"/>
          <w:szCs w:val="24"/>
        </w:rPr>
        <w:t>”</w:t>
      </w:r>
      <w:r w:rsidRPr="00BC3EAD">
        <w:rPr>
          <w:kern w:val="0"/>
          <w:sz w:val="24"/>
        </w:rPr>
        <w:t>部分</w:t>
      </w:r>
      <w:r>
        <w:rPr>
          <w:rFonts w:ascii="宋体" w:cs="宋体" w:hint="eastAsia"/>
          <w:kern w:val="0"/>
          <w:sz w:val="24"/>
        </w:rPr>
        <w:t>增加存托凭证投资策略。</w:t>
      </w:r>
      <w:r w:rsidR="00AF1786" w:rsidRPr="00BC3EAD">
        <w:rPr>
          <w:kern w:val="0"/>
          <w:sz w:val="24"/>
        </w:rPr>
        <w:t>主动基金以</w:t>
      </w:r>
      <w:r w:rsidR="00BB26CD" w:rsidRPr="00920A5D">
        <w:rPr>
          <w:rFonts w:ascii="Times New Roman" w:eastAsia="宋体" w:hAnsi="Times New Roman" w:cs="Times New Roman"/>
          <w:kern w:val="0"/>
          <w:sz w:val="24"/>
          <w:szCs w:val="24"/>
        </w:rPr>
        <w:t>易方达竞争优势企业混合型证券投资基金</w:t>
      </w:r>
      <w:r w:rsidR="00AF1786" w:rsidRPr="00BC3EAD">
        <w:rPr>
          <w:kern w:val="0"/>
          <w:sz w:val="24"/>
        </w:rPr>
        <w:t>为例，</w:t>
      </w:r>
      <w:r w:rsidR="00AF1786">
        <w:rPr>
          <w:rFonts w:hint="eastAsia"/>
          <w:kern w:val="0"/>
          <w:sz w:val="24"/>
        </w:rPr>
        <w:t>投资</w:t>
      </w:r>
      <w:r w:rsidRPr="00BC3EAD">
        <w:rPr>
          <w:rFonts w:ascii="宋体" w:cs="宋体" w:hint="eastAsia"/>
          <w:kern w:val="0"/>
          <w:sz w:val="24"/>
        </w:rPr>
        <w:t>策略</w:t>
      </w:r>
      <w:r w:rsidR="004B22FD">
        <w:rPr>
          <w:rFonts w:ascii="宋体" w:cs="宋体" w:hint="eastAsia"/>
          <w:kern w:val="0"/>
          <w:sz w:val="24"/>
        </w:rPr>
        <w:t>增加</w:t>
      </w:r>
      <w:r w:rsidR="00195539">
        <w:rPr>
          <w:rFonts w:ascii="宋体" w:cs="宋体" w:hint="eastAsia"/>
          <w:kern w:val="0"/>
          <w:sz w:val="24"/>
        </w:rPr>
        <w:t>：</w:t>
      </w:r>
      <w:r w:rsidRPr="00BC3EAD">
        <w:rPr>
          <w:rFonts w:ascii="宋体" w:cs="宋体" w:hint="eastAsia"/>
          <w:kern w:val="0"/>
          <w:sz w:val="24"/>
        </w:rPr>
        <w:t>“</w:t>
      </w:r>
      <w:r w:rsidR="00195539">
        <w:rPr>
          <w:rFonts w:ascii="宋体" w:hAnsi="宋体" w:hint="eastAsia"/>
          <w:sz w:val="24"/>
          <w:szCs w:val="24"/>
        </w:rPr>
        <w:t>本基金投资存托凭证的策略依照上述股票投资策略执行</w:t>
      </w:r>
      <w:r w:rsidR="00195539">
        <w:rPr>
          <w:rFonts w:ascii="Times New Roman" w:eastAsia="宋体" w:hAnsi="Times New Roman" w:cs="Times New Roman" w:hint="eastAsia"/>
          <w:kern w:val="0"/>
          <w:sz w:val="24"/>
          <w:szCs w:val="24"/>
        </w:rPr>
        <w:t>”</w:t>
      </w:r>
      <w:r w:rsidR="00983843">
        <w:rPr>
          <w:rFonts w:ascii="宋体" w:cs="宋体" w:hint="eastAsia"/>
          <w:bCs/>
          <w:kern w:val="0"/>
          <w:sz w:val="24"/>
        </w:rPr>
        <w:t>；</w:t>
      </w:r>
      <w:r w:rsidRPr="00BC3EAD">
        <w:rPr>
          <w:rFonts w:ascii="宋体" w:cs="宋体" w:hint="eastAsia"/>
          <w:bCs/>
          <w:kern w:val="0"/>
          <w:sz w:val="24"/>
        </w:rPr>
        <w:t>被动基金</w:t>
      </w:r>
      <w:r w:rsidR="00230CC7" w:rsidRPr="00BC3EAD">
        <w:rPr>
          <w:kern w:val="0"/>
          <w:sz w:val="24"/>
        </w:rPr>
        <w:t>以</w:t>
      </w:r>
      <w:r w:rsidR="004669C7" w:rsidRPr="00920A5D">
        <w:rPr>
          <w:rFonts w:ascii="Times New Roman" w:hAnsi="Times New Roman" w:cs="Times New Roman"/>
          <w:sz w:val="24"/>
        </w:rPr>
        <w:t>易方达中证万得生物科技指数证券投资基金（</w:t>
      </w:r>
      <w:r w:rsidR="004669C7" w:rsidRPr="00920A5D">
        <w:rPr>
          <w:rFonts w:ascii="Times New Roman" w:hAnsi="Times New Roman" w:cs="Times New Roman"/>
          <w:sz w:val="24"/>
        </w:rPr>
        <w:t>LOF</w:t>
      </w:r>
      <w:r w:rsidR="004669C7" w:rsidRPr="00920A5D">
        <w:rPr>
          <w:rFonts w:ascii="Times New Roman" w:hAnsi="Times New Roman" w:cs="Times New Roman"/>
          <w:sz w:val="24"/>
        </w:rPr>
        <w:t>）</w:t>
      </w:r>
      <w:r w:rsidR="00230CC7" w:rsidRPr="00BC3EAD">
        <w:rPr>
          <w:kern w:val="0"/>
          <w:sz w:val="24"/>
        </w:rPr>
        <w:t>为例，</w:t>
      </w:r>
      <w:r w:rsidR="00230CC7">
        <w:rPr>
          <w:rFonts w:hint="eastAsia"/>
          <w:kern w:val="0"/>
          <w:sz w:val="24"/>
        </w:rPr>
        <w:t>投资</w:t>
      </w:r>
      <w:r w:rsidR="00230CC7" w:rsidRPr="00BC3EAD">
        <w:rPr>
          <w:rFonts w:ascii="宋体" w:cs="宋体" w:hint="eastAsia"/>
          <w:kern w:val="0"/>
          <w:sz w:val="24"/>
        </w:rPr>
        <w:t>策略</w:t>
      </w:r>
      <w:r w:rsidR="00230CC7">
        <w:rPr>
          <w:rFonts w:ascii="宋体" w:cs="宋体" w:hint="eastAsia"/>
          <w:kern w:val="0"/>
          <w:sz w:val="24"/>
        </w:rPr>
        <w:t>修改为</w:t>
      </w:r>
      <w:r w:rsidR="00195539">
        <w:rPr>
          <w:rFonts w:ascii="宋体" w:cs="宋体" w:hint="eastAsia"/>
          <w:kern w:val="0"/>
          <w:sz w:val="24"/>
        </w:rPr>
        <w:t>：</w:t>
      </w:r>
      <w:r w:rsidR="00195539" w:rsidRPr="00920A5D">
        <w:rPr>
          <w:rFonts w:asciiTheme="minorEastAsia" w:hAnsiTheme="minorEastAsia" w:cs="Times New Roman" w:hint="eastAsia"/>
          <w:kern w:val="0"/>
          <w:sz w:val="24"/>
          <w:szCs w:val="24"/>
        </w:rPr>
        <w:t>“</w:t>
      </w:r>
      <w:r w:rsidRPr="00BC3EAD">
        <w:rPr>
          <w:rFonts w:ascii="宋体" w:cs="宋体" w:hint="eastAsia"/>
          <w:bCs/>
          <w:kern w:val="0"/>
          <w:sz w:val="24"/>
        </w:rPr>
        <w:t>股票（含存托凭证）投资策略</w:t>
      </w:r>
      <w:r w:rsidR="00EB5CBB">
        <w:rPr>
          <w:rFonts w:ascii="宋体" w:cs="宋体" w:hint="eastAsia"/>
          <w:bCs/>
          <w:kern w:val="0"/>
          <w:sz w:val="24"/>
        </w:rPr>
        <w:t>……</w:t>
      </w:r>
      <w:r w:rsidR="00195539">
        <w:rPr>
          <w:rFonts w:ascii="Times New Roman" w:eastAsia="宋体" w:hAnsi="Times New Roman" w:cs="Times New Roman" w:hint="eastAsia"/>
          <w:kern w:val="0"/>
          <w:sz w:val="24"/>
          <w:szCs w:val="24"/>
        </w:rPr>
        <w:t>”</w:t>
      </w:r>
      <w:r w:rsidR="004669C7">
        <w:rPr>
          <w:rFonts w:ascii="宋体" w:cs="宋体"/>
          <w:bCs/>
          <w:kern w:val="0"/>
          <w:sz w:val="24"/>
        </w:rPr>
        <w:t>。</w:t>
      </w:r>
    </w:p>
    <w:p w:rsidR="00BC3EAD" w:rsidRDefault="00D5550B" w:rsidP="004349CE">
      <w:pPr>
        <w:pStyle w:val="a3"/>
        <w:spacing w:line="360" w:lineRule="auto"/>
        <w:ind w:rightChars="40" w:right="84" w:firstLine="480"/>
        <w:rPr>
          <w:rFonts w:hAnsi="宋体" w:cs="宋体"/>
          <w:kern w:val="0"/>
          <w:sz w:val="24"/>
        </w:rPr>
      </w:pPr>
      <w:r>
        <w:rPr>
          <w:rFonts w:hAnsi="宋体" w:cs="宋体"/>
          <w:kern w:val="0"/>
          <w:sz w:val="24"/>
        </w:rPr>
        <w:t>（</w:t>
      </w:r>
      <w:r>
        <w:rPr>
          <w:rFonts w:hAnsi="宋体" w:cs="宋体"/>
          <w:kern w:val="0"/>
          <w:sz w:val="24"/>
        </w:rPr>
        <w:t>3</w:t>
      </w:r>
      <w:r>
        <w:rPr>
          <w:rFonts w:hAnsi="宋体" w:cs="宋体"/>
          <w:kern w:val="0"/>
          <w:sz w:val="24"/>
        </w:rPr>
        <w:t>）</w:t>
      </w:r>
      <w:r w:rsidRPr="004349CE">
        <w:rPr>
          <w:rFonts w:hAnsi="宋体" w:cs="宋体" w:hint="eastAsia"/>
          <w:kern w:val="0"/>
          <w:sz w:val="24"/>
        </w:rPr>
        <w:t>“投资限制”</w:t>
      </w:r>
      <w:r>
        <w:rPr>
          <w:rFonts w:hAnsi="宋体" w:cs="宋体" w:hint="eastAsia"/>
          <w:kern w:val="0"/>
          <w:sz w:val="24"/>
        </w:rPr>
        <w:t>部分</w:t>
      </w:r>
      <w:r w:rsidRPr="004349CE">
        <w:rPr>
          <w:rFonts w:hAnsi="宋体" w:cs="宋体" w:hint="eastAsia"/>
          <w:kern w:val="0"/>
          <w:sz w:val="24"/>
        </w:rPr>
        <w:t>增加存托凭证投资限制</w:t>
      </w:r>
      <w:r w:rsidR="00195539">
        <w:rPr>
          <w:rFonts w:hAnsi="宋体" w:cs="宋体" w:hint="eastAsia"/>
          <w:kern w:val="0"/>
          <w:sz w:val="24"/>
        </w:rPr>
        <w:t>：</w:t>
      </w:r>
      <w:r w:rsidRPr="004349CE">
        <w:rPr>
          <w:rFonts w:hAnsi="宋体" w:cs="宋体" w:hint="eastAsia"/>
          <w:kern w:val="0"/>
          <w:sz w:val="24"/>
        </w:rPr>
        <w:t>“</w:t>
      </w:r>
      <w:r w:rsidR="00195539">
        <w:rPr>
          <w:rFonts w:ascii="宋体" w:hAnsi="宋体" w:hint="eastAsia"/>
          <w:bCs/>
          <w:sz w:val="24"/>
          <w:highlight w:val="white"/>
        </w:rPr>
        <w:t>本基金投资存托凭证的比例限制依照境内上市交易的股票执行，与境内上市交易的股票合并计算</w:t>
      </w:r>
      <w:r w:rsidRPr="004349CE">
        <w:rPr>
          <w:rFonts w:hAnsi="宋体" w:cs="宋体" w:hint="eastAsia"/>
          <w:kern w:val="0"/>
          <w:sz w:val="24"/>
        </w:rPr>
        <w:t>”</w:t>
      </w:r>
      <w:r w:rsidR="00195539">
        <w:rPr>
          <w:rFonts w:hAnsi="宋体" w:cs="宋体" w:hint="eastAsia"/>
          <w:kern w:val="0"/>
          <w:sz w:val="24"/>
        </w:rPr>
        <w:t>。</w:t>
      </w:r>
    </w:p>
    <w:p w:rsidR="00406D02" w:rsidRPr="00406D02" w:rsidRDefault="00D5550B" w:rsidP="00406D02">
      <w:pPr>
        <w:pStyle w:val="a3"/>
        <w:spacing w:line="360" w:lineRule="auto"/>
        <w:ind w:rightChars="40" w:right="84" w:firstLine="480"/>
        <w:rPr>
          <w:rFonts w:hAnsi="宋体" w:cs="宋体"/>
          <w:kern w:val="0"/>
          <w:sz w:val="24"/>
        </w:rPr>
      </w:pPr>
      <w:r>
        <w:rPr>
          <w:rFonts w:hAnsi="宋体" w:cs="宋体"/>
          <w:bCs/>
          <w:kern w:val="0"/>
          <w:sz w:val="24"/>
        </w:rPr>
        <w:t>（</w:t>
      </w:r>
      <w:r>
        <w:rPr>
          <w:rFonts w:hAnsi="宋体" w:cs="宋体"/>
          <w:bCs/>
          <w:kern w:val="0"/>
          <w:sz w:val="24"/>
        </w:rPr>
        <w:t>4</w:t>
      </w:r>
      <w:r>
        <w:rPr>
          <w:rFonts w:hAnsi="宋体" w:cs="宋体"/>
          <w:bCs/>
          <w:kern w:val="0"/>
          <w:sz w:val="24"/>
        </w:rPr>
        <w:t>）</w:t>
      </w:r>
      <w:r w:rsidRPr="00406D02">
        <w:rPr>
          <w:rFonts w:hAnsi="宋体" w:cs="宋体"/>
          <w:bCs/>
          <w:kern w:val="0"/>
          <w:sz w:val="24"/>
        </w:rPr>
        <w:t>“</w:t>
      </w:r>
      <w:r w:rsidRPr="00406D02">
        <w:rPr>
          <w:rFonts w:hAnsi="宋体" w:cs="宋体" w:hint="eastAsia"/>
          <w:bCs/>
          <w:kern w:val="0"/>
          <w:sz w:val="24"/>
        </w:rPr>
        <w:t>估值</w:t>
      </w:r>
      <w:r w:rsidR="00FD3E93" w:rsidRPr="004349CE">
        <w:rPr>
          <w:rFonts w:hAnsi="宋体" w:cs="宋体" w:hint="eastAsia"/>
          <w:kern w:val="0"/>
          <w:sz w:val="24"/>
        </w:rPr>
        <w:t>”</w:t>
      </w:r>
      <w:r w:rsidRPr="00406D02">
        <w:rPr>
          <w:rFonts w:hAnsi="宋体" w:cs="宋体" w:hint="eastAsia"/>
          <w:bCs/>
          <w:kern w:val="0"/>
          <w:sz w:val="24"/>
        </w:rPr>
        <w:t>部分增加了存托凭证的估值方法</w:t>
      </w:r>
      <w:r w:rsidR="00195539">
        <w:rPr>
          <w:rFonts w:hAnsi="宋体" w:cs="宋体" w:hint="eastAsia"/>
          <w:bCs/>
          <w:kern w:val="0"/>
          <w:sz w:val="24"/>
        </w:rPr>
        <w:t>：</w:t>
      </w:r>
      <w:r w:rsidRPr="00406D02">
        <w:rPr>
          <w:rFonts w:hAnsi="宋体" w:cs="宋体" w:hint="eastAsia"/>
          <w:bCs/>
          <w:kern w:val="0"/>
          <w:sz w:val="24"/>
        </w:rPr>
        <w:t>“</w:t>
      </w:r>
      <w:r w:rsidR="00195539">
        <w:rPr>
          <w:rFonts w:ascii="宋体" w:hAnsi="宋体" w:hint="eastAsia"/>
          <w:bCs/>
          <w:sz w:val="24"/>
          <w:highlight w:val="white"/>
        </w:rPr>
        <w:t>本基金投资存托凭证的估值核算，依照境内上市交易的股票执行</w:t>
      </w:r>
      <w:r w:rsidRPr="00406D02">
        <w:rPr>
          <w:rFonts w:hAnsi="宋体" w:cs="宋体" w:hint="eastAsia"/>
          <w:bCs/>
          <w:kern w:val="0"/>
          <w:sz w:val="24"/>
        </w:rPr>
        <w:t>”</w:t>
      </w:r>
      <w:r w:rsidR="00195539">
        <w:rPr>
          <w:rFonts w:hAnsi="宋体" w:cs="宋体" w:hint="eastAsia"/>
          <w:bCs/>
          <w:kern w:val="0"/>
          <w:sz w:val="24"/>
        </w:rPr>
        <w:t>。</w:t>
      </w:r>
    </w:p>
    <w:p w:rsidR="00A85594" w:rsidRDefault="00D5550B" w:rsidP="00A85594">
      <w:pPr>
        <w:pStyle w:val="a3"/>
        <w:spacing w:line="360" w:lineRule="auto"/>
        <w:ind w:rightChars="40" w:right="84" w:firstLine="480"/>
        <w:rPr>
          <w:rFonts w:hAnsi="宋体" w:cs="宋体"/>
          <w:kern w:val="0"/>
          <w:sz w:val="24"/>
        </w:rPr>
      </w:pPr>
      <w:r>
        <w:rPr>
          <w:rFonts w:hAnsi="宋体" w:cs="宋体" w:hint="eastAsia"/>
          <w:kern w:val="0"/>
          <w:sz w:val="24"/>
        </w:rPr>
        <w:t>（</w:t>
      </w:r>
      <w:r w:rsidR="00406D02">
        <w:rPr>
          <w:rFonts w:hAnsi="宋体" w:cs="宋体" w:hint="eastAsia"/>
          <w:kern w:val="0"/>
          <w:sz w:val="24"/>
        </w:rPr>
        <w:t>5</w:t>
      </w:r>
      <w:r>
        <w:rPr>
          <w:rFonts w:hAnsi="宋体" w:cs="宋体" w:hint="eastAsia"/>
          <w:kern w:val="0"/>
          <w:sz w:val="24"/>
        </w:rPr>
        <w:t>）</w:t>
      </w:r>
      <w:r w:rsidRPr="009363C0">
        <w:rPr>
          <w:rFonts w:hAnsi="宋体" w:cs="宋体" w:hint="eastAsia"/>
          <w:kern w:val="0"/>
          <w:sz w:val="24"/>
        </w:rPr>
        <w:t>增加基金投资存托凭证的风险提示内容：</w:t>
      </w:r>
      <w:r w:rsidR="00406D02">
        <w:rPr>
          <w:rFonts w:hAnsi="宋体" w:cs="宋体" w:hint="eastAsia"/>
          <w:kern w:val="0"/>
          <w:sz w:val="24"/>
        </w:rPr>
        <w:t>“</w:t>
      </w:r>
      <w:r w:rsidR="00195539" w:rsidRPr="009E500B">
        <w:rPr>
          <w:rFonts w:hint="eastAsia"/>
          <w:sz w:val="24"/>
        </w:rPr>
        <w:t>本基金的投资范围包括存托凭证，</w:t>
      </w:r>
      <w:r w:rsidR="00195539" w:rsidRPr="009E500B">
        <w:rPr>
          <w:sz w:val="24"/>
        </w:rPr>
        <w:t>除与其他投资于股票的基金所面临的共同风险外，本基金还将面临投资存托凭证的特殊风险，详见本基金招募说明书</w:t>
      </w:r>
      <w:r w:rsidR="00406D02">
        <w:rPr>
          <w:rFonts w:hAnsi="宋体" w:cs="宋体"/>
          <w:kern w:val="0"/>
          <w:sz w:val="24"/>
        </w:rPr>
        <w:t>”</w:t>
      </w:r>
      <w:r w:rsidR="004B22FD">
        <w:rPr>
          <w:rFonts w:hAnsi="宋体" w:cs="宋体" w:hint="eastAsia"/>
          <w:kern w:val="0"/>
          <w:sz w:val="24"/>
        </w:rPr>
        <w:t>，</w:t>
      </w:r>
      <w:r w:rsidR="00406D02">
        <w:rPr>
          <w:rFonts w:hAnsi="宋体" w:cs="宋体" w:hint="eastAsia"/>
          <w:kern w:val="0"/>
          <w:sz w:val="24"/>
        </w:rPr>
        <w:t>基金</w:t>
      </w:r>
      <w:r w:rsidR="00D849FE">
        <w:rPr>
          <w:rFonts w:hAnsi="宋体" w:cs="宋体" w:hint="eastAsia"/>
          <w:kern w:val="0"/>
          <w:sz w:val="24"/>
        </w:rPr>
        <w:t>管理人</w:t>
      </w:r>
      <w:r w:rsidR="00406D02">
        <w:rPr>
          <w:rFonts w:hAnsi="宋体" w:cs="宋体" w:hint="eastAsia"/>
          <w:kern w:val="0"/>
          <w:sz w:val="24"/>
        </w:rPr>
        <w:t>将在更新的招募说明书中揭示投资存托凭证的风险。</w:t>
      </w:r>
    </w:p>
    <w:p w:rsidR="006C3621" w:rsidRPr="009363C0" w:rsidRDefault="00D5550B" w:rsidP="00A85594">
      <w:pPr>
        <w:pStyle w:val="a3"/>
        <w:spacing w:line="360" w:lineRule="auto"/>
        <w:ind w:rightChars="40" w:right="84" w:firstLine="480"/>
        <w:rPr>
          <w:rFonts w:hAnsi="宋体" w:cs="宋体"/>
          <w:kern w:val="0"/>
          <w:sz w:val="24"/>
        </w:rPr>
      </w:pPr>
      <w:r>
        <w:rPr>
          <w:rFonts w:hAnsi="宋体" w:cs="宋体" w:hint="eastAsia"/>
          <w:kern w:val="0"/>
          <w:sz w:val="24"/>
        </w:rPr>
        <w:t>（</w:t>
      </w:r>
      <w:r>
        <w:rPr>
          <w:rFonts w:hAnsi="宋体" w:cs="宋体" w:hint="eastAsia"/>
          <w:kern w:val="0"/>
          <w:sz w:val="24"/>
        </w:rPr>
        <w:t>6</w:t>
      </w:r>
      <w:r>
        <w:rPr>
          <w:rFonts w:hAnsi="宋体" w:cs="宋体" w:hint="eastAsia"/>
          <w:kern w:val="0"/>
          <w:sz w:val="24"/>
        </w:rPr>
        <w:t>）</w:t>
      </w:r>
      <w:r w:rsidR="00680ADB">
        <w:rPr>
          <w:rFonts w:hAnsi="宋体" w:cs="宋体" w:hint="eastAsia"/>
          <w:kern w:val="0"/>
          <w:sz w:val="24"/>
        </w:rPr>
        <w:t>更新</w:t>
      </w:r>
      <w:r w:rsidRPr="00782CFC">
        <w:rPr>
          <w:rFonts w:hAnsi="宋体" w:cs="宋体" w:hint="eastAsia"/>
          <w:kern w:val="0"/>
          <w:sz w:val="24"/>
        </w:rPr>
        <w:t>法律法规</w:t>
      </w:r>
      <w:r w:rsidR="00680ADB">
        <w:rPr>
          <w:rFonts w:hAnsi="宋体" w:cs="宋体" w:hint="eastAsia"/>
          <w:kern w:val="0"/>
          <w:sz w:val="24"/>
        </w:rPr>
        <w:t>名称、释义等。</w:t>
      </w:r>
    </w:p>
    <w:p w:rsidR="000F2B4C" w:rsidRDefault="00D5550B" w:rsidP="002E6AC2">
      <w:pPr>
        <w:pStyle w:val="a3"/>
        <w:spacing w:line="360" w:lineRule="auto"/>
        <w:ind w:rightChars="40" w:right="84" w:firstLine="480"/>
        <w:rPr>
          <w:rFonts w:hAnsi="宋体" w:cs="宋体"/>
          <w:kern w:val="0"/>
          <w:sz w:val="24"/>
        </w:rPr>
      </w:pPr>
      <w:r>
        <w:rPr>
          <w:rFonts w:hAnsi="宋体" w:cs="宋体"/>
          <w:kern w:val="0"/>
          <w:sz w:val="24"/>
        </w:rPr>
        <w:t>2</w:t>
      </w:r>
      <w:r w:rsidRPr="009363C0">
        <w:rPr>
          <w:rFonts w:hAnsi="宋体" w:cs="宋体"/>
          <w:kern w:val="0"/>
          <w:sz w:val="24"/>
        </w:rPr>
        <w:t>.</w:t>
      </w:r>
      <w:r w:rsidRPr="000358E7">
        <w:rPr>
          <w:rFonts w:hAnsi="宋体" w:cs="宋体" w:hint="eastAsia"/>
          <w:sz w:val="24"/>
        </w:rPr>
        <w:t>托管协议涉及上述内容的条款已一并调整。</w:t>
      </w:r>
    </w:p>
    <w:p w:rsidR="0023332E" w:rsidRPr="00F55A12" w:rsidRDefault="00D5550B" w:rsidP="0023332E">
      <w:pPr>
        <w:pStyle w:val="a3"/>
        <w:spacing w:line="360" w:lineRule="auto"/>
        <w:ind w:firstLine="480"/>
        <w:rPr>
          <w:rFonts w:asciiTheme="minorEastAsia" w:eastAsiaTheme="minorEastAsia" w:hAnsiTheme="minorEastAsia" w:cs="宋体"/>
          <w:sz w:val="24"/>
        </w:rPr>
      </w:pPr>
      <w:r>
        <w:rPr>
          <w:rFonts w:hAnsi="宋体" w:cs="宋体" w:hint="eastAsia"/>
          <w:kern w:val="0"/>
          <w:sz w:val="24"/>
        </w:rPr>
        <w:t>3.</w:t>
      </w:r>
      <w:r w:rsidRPr="00F55A12">
        <w:rPr>
          <w:rFonts w:asciiTheme="minorEastAsia" w:eastAsiaTheme="minorEastAsia" w:hAnsiTheme="minorEastAsia" w:cs="宋体" w:hint="eastAsia"/>
          <w:sz w:val="24"/>
        </w:rPr>
        <w:t>基金合同、托管协议的修订</w:t>
      </w:r>
      <w:r w:rsidRPr="00F55A12">
        <w:rPr>
          <w:rFonts w:asciiTheme="minorEastAsia" w:eastAsiaTheme="minorEastAsia" w:hAnsiTheme="minorEastAsia" w:cs="宋体"/>
          <w:sz w:val="24"/>
        </w:rPr>
        <w:t>符合相关法律法规</w:t>
      </w:r>
      <w:r w:rsidRPr="00F55A12">
        <w:rPr>
          <w:rFonts w:asciiTheme="minorEastAsia" w:eastAsiaTheme="minorEastAsia" w:hAnsiTheme="minorEastAsia" w:cs="宋体" w:hint="eastAsia"/>
          <w:sz w:val="24"/>
        </w:rPr>
        <w:t>，对</w:t>
      </w:r>
      <w:bookmarkStart w:id="0" w:name="_GoBack"/>
      <w:bookmarkEnd w:id="0"/>
      <w:r w:rsidRPr="00F55A12">
        <w:rPr>
          <w:rFonts w:asciiTheme="minorEastAsia" w:eastAsiaTheme="minorEastAsia" w:hAnsiTheme="minorEastAsia" w:cs="宋体" w:hint="eastAsia"/>
          <w:sz w:val="24"/>
        </w:rPr>
        <w:t>基金份额持有人利益无实质性不利影响，且基金管理人</w:t>
      </w:r>
      <w:r w:rsidRPr="00F55A12">
        <w:rPr>
          <w:rFonts w:asciiTheme="minorEastAsia" w:eastAsiaTheme="minorEastAsia" w:hAnsiTheme="minorEastAsia" w:cs="宋体"/>
          <w:sz w:val="24"/>
        </w:rPr>
        <w:t>已履行</w:t>
      </w:r>
      <w:r w:rsidRPr="00F55A12">
        <w:rPr>
          <w:rFonts w:asciiTheme="minorEastAsia" w:eastAsiaTheme="minorEastAsia" w:hAnsiTheme="minorEastAsia" w:cs="宋体" w:hint="eastAsia"/>
          <w:sz w:val="24"/>
        </w:rPr>
        <w:t>规定</w:t>
      </w:r>
      <w:r w:rsidRPr="00F55A12">
        <w:rPr>
          <w:rFonts w:asciiTheme="minorEastAsia" w:eastAsiaTheme="minorEastAsia" w:hAnsiTheme="minorEastAsia" w:cs="宋体"/>
          <w:sz w:val="24"/>
        </w:rPr>
        <w:t>程序</w:t>
      </w:r>
      <w:r w:rsidRPr="00F55A12">
        <w:rPr>
          <w:rFonts w:asciiTheme="minorEastAsia" w:eastAsiaTheme="minorEastAsia" w:hAnsiTheme="minorEastAsia" w:cs="宋体" w:hint="eastAsia"/>
          <w:sz w:val="24"/>
        </w:rPr>
        <w:t>。</w:t>
      </w:r>
    </w:p>
    <w:p w:rsidR="002E6AC2" w:rsidRPr="00A70682" w:rsidRDefault="00D5550B" w:rsidP="00A70682">
      <w:pPr>
        <w:pStyle w:val="a3"/>
        <w:spacing w:line="360" w:lineRule="auto"/>
        <w:ind w:rightChars="40" w:right="84" w:firstLine="482"/>
        <w:rPr>
          <w:rFonts w:hAnsi="宋体" w:cs="宋体"/>
          <w:b/>
          <w:sz w:val="24"/>
        </w:rPr>
      </w:pPr>
      <w:r w:rsidRPr="00A70682">
        <w:rPr>
          <w:rFonts w:hAnsi="宋体" w:cs="宋体" w:hint="eastAsia"/>
          <w:b/>
          <w:sz w:val="24"/>
        </w:rPr>
        <w:t>三、上述基金合同、托管协议的修订</w:t>
      </w:r>
      <w:r w:rsidRPr="00A70682">
        <w:rPr>
          <w:rFonts w:hAnsi="宋体" w:cs="宋体"/>
          <w:b/>
          <w:sz w:val="24"/>
        </w:rPr>
        <w:t>事宜</w:t>
      </w:r>
      <w:r w:rsidRPr="00A70682">
        <w:rPr>
          <w:rFonts w:hAnsi="宋体" w:cs="宋体" w:hint="eastAsia"/>
          <w:b/>
          <w:sz w:val="24"/>
        </w:rPr>
        <w:t>自</w:t>
      </w:r>
      <w:r w:rsidR="00937DE6" w:rsidRPr="003B563E">
        <w:rPr>
          <w:rFonts w:ascii="宋体" w:hAnsi="宋体" w:cs="宋体"/>
          <w:b/>
          <w:sz w:val="24"/>
        </w:rPr>
        <w:t>2023</w:t>
      </w:r>
      <w:r w:rsidRPr="003B563E">
        <w:rPr>
          <w:rFonts w:ascii="宋体" w:hAnsi="宋体" w:cs="宋体"/>
          <w:b/>
          <w:sz w:val="24"/>
        </w:rPr>
        <w:t>年</w:t>
      </w:r>
      <w:r w:rsidR="001F6B21" w:rsidRPr="003B563E">
        <w:rPr>
          <w:rFonts w:ascii="宋体" w:hAnsi="宋体" w:cs="宋体"/>
          <w:b/>
          <w:sz w:val="24"/>
        </w:rPr>
        <w:t>1</w:t>
      </w:r>
      <w:r w:rsidRPr="003B563E">
        <w:rPr>
          <w:rFonts w:ascii="宋体" w:hAnsi="宋体" w:cs="宋体"/>
          <w:b/>
          <w:sz w:val="24"/>
        </w:rPr>
        <w:t>0</w:t>
      </w:r>
      <w:r w:rsidRPr="003B563E">
        <w:rPr>
          <w:rFonts w:ascii="宋体" w:hAnsi="宋体" w:cs="宋体"/>
          <w:b/>
          <w:sz w:val="24"/>
        </w:rPr>
        <w:t>月</w:t>
      </w:r>
      <w:r w:rsidRPr="003B563E">
        <w:rPr>
          <w:rFonts w:ascii="宋体" w:hAnsi="宋体" w:cs="宋体"/>
          <w:b/>
          <w:sz w:val="24"/>
        </w:rPr>
        <w:t>1</w:t>
      </w:r>
      <w:r w:rsidR="007B70AE">
        <w:rPr>
          <w:rFonts w:ascii="宋体" w:hAnsi="宋体" w:cs="宋体"/>
          <w:b/>
          <w:sz w:val="24"/>
        </w:rPr>
        <w:t>4</w:t>
      </w:r>
      <w:r w:rsidRPr="003B563E">
        <w:rPr>
          <w:rFonts w:ascii="宋体" w:hAnsi="宋体" w:cs="宋体"/>
          <w:b/>
          <w:sz w:val="24"/>
        </w:rPr>
        <w:t>日</w:t>
      </w:r>
      <w:r w:rsidRPr="00A70682">
        <w:rPr>
          <w:rFonts w:hAnsi="宋体" w:cs="宋体" w:hint="eastAsia"/>
          <w:b/>
          <w:sz w:val="24"/>
        </w:rPr>
        <w:t>起生效</w:t>
      </w:r>
      <w:r w:rsidR="00823B42" w:rsidRPr="00A70682">
        <w:rPr>
          <w:rFonts w:hAnsi="宋体" w:cs="宋体" w:hint="eastAsia"/>
          <w:b/>
          <w:sz w:val="24"/>
        </w:rPr>
        <w:t>。</w:t>
      </w:r>
      <w:r w:rsidRPr="00A70682">
        <w:rPr>
          <w:rFonts w:hAnsi="宋体" w:cs="宋体" w:hint="eastAsia"/>
          <w:b/>
          <w:sz w:val="24"/>
        </w:rPr>
        <w:t>基金管理人将届时</w:t>
      </w:r>
      <w:r w:rsidR="00292984" w:rsidRPr="00A70682">
        <w:rPr>
          <w:rFonts w:hAnsi="宋体" w:cs="宋体" w:hint="eastAsia"/>
          <w:b/>
          <w:sz w:val="24"/>
        </w:rPr>
        <w:t>更新</w:t>
      </w:r>
      <w:r w:rsidR="00114FC9" w:rsidRPr="00A70682">
        <w:rPr>
          <w:rFonts w:hAnsi="宋体" w:cs="宋体" w:hint="eastAsia"/>
          <w:b/>
          <w:sz w:val="24"/>
        </w:rPr>
        <w:t>各</w:t>
      </w:r>
      <w:r w:rsidRPr="00A70682">
        <w:rPr>
          <w:rFonts w:hAnsi="宋体" w:cs="宋体" w:hint="eastAsia"/>
          <w:b/>
          <w:sz w:val="24"/>
        </w:rPr>
        <w:t>基金</w:t>
      </w:r>
      <w:r w:rsidR="00114FC9" w:rsidRPr="00A70682">
        <w:rPr>
          <w:rFonts w:hAnsi="宋体" w:cs="宋体" w:hint="eastAsia"/>
          <w:b/>
          <w:sz w:val="24"/>
        </w:rPr>
        <w:t>的</w:t>
      </w:r>
      <w:r w:rsidRPr="00A70682">
        <w:rPr>
          <w:rFonts w:hAnsi="宋体" w:cs="宋体" w:hint="eastAsia"/>
          <w:b/>
          <w:sz w:val="24"/>
        </w:rPr>
        <w:t>招募说明书</w:t>
      </w:r>
      <w:r w:rsidR="008B75A2" w:rsidRPr="00A70682">
        <w:rPr>
          <w:rFonts w:hAnsi="宋体" w:cs="宋体" w:hint="eastAsia"/>
          <w:b/>
          <w:sz w:val="24"/>
        </w:rPr>
        <w:t>和</w:t>
      </w:r>
      <w:r w:rsidR="00616B28" w:rsidRPr="00A70682">
        <w:rPr>
          <w:rFonts w:hAnsi="宋体" w:cs="宋体" w:hint="eastAsia"/>
          <w:b/>
          <w:sz w:val="24"/>
        </w:rPr>
        <w:t>基金产品资料概要</w:t>
      </w:r>
      <w:r w:rsidRPr="00A70682">
        <w:rPr>
          <w:rFonts w:hAnsi="宋体" w:cs="宋体" w:hint="eastAsia"/>
          <w:b/>
          <w:sz w:val="24"/>
        </w:rPr>
        <w:t>相关内容</w:t>
      </w:r>
      <w:r w:rsidR="001B3CDE" w:rsidRPr="00A70682">
        <w:rPr>
          <w:rFonts w:hAnsi="宋体" w:cs="宋体" w:hint="eastAsia"/>
          <w:b/>
          <w:sz w:val="24"/>
        </w:rPr>
        <w:t>，并揭示风险</w:t>
      </w:r>
      <w:r w:rsidRPr="00A70682">
        <w:rPr>
          <w:rFonts w:hAnsi="宋体" w:cs="宋体" w:hint="eastAsia"/>
          <w:b/>
          <w:sz w:val="24"/>
        </w:rPr>
        <w:t>。</w:t>
      </w:r>
    </w:p>
    <w:p w:rsidR="002E6AC2" w:rsidRPr="00CE6E32" w:rsidRDefault="00D5550B" w:rsidP="002E6AC2">
      <w:pPr>
        <w:pStyle w:val="a3"/>
        <w:spacing w:line="360" w:lineRule="auto"/>
        <w:ind w:rightChars="40" w:right="84" w:firstLine="482"/>
        <w:rPr>
          <w:rFonts w:hAnsi="宋体" w:cs="宋体"/>
          <w:b/>
          <w:sz w:val="24"/>
        </w:rPr>
      </w:pPr>
      <w:r>
        <w:rPr>
          <w:rFonts w:hAnsi="宋体" w:cs="宋体" w:hint="eastAsia"/>
          <w:b/>
          <w:sz w:val="24"/>
        </w:rPr>
        <w:t>四</w:t>
      </w:r>
      <w:r w:rsidRPr="00CE6E32">
        <w:rPr>
          <w:rFonts w:hAnsi="宋体" w:cs="宋体"/>
          <w:b/>
          <w:sz w:val="24"/>
        </w:rPr>
        <w:t>、</w:t>
      </w:r>
      <w:r w:rsidRPr="00CE6E32">
        <w:rPr>
          <w:rFonts w:hAnsi="宋体" w:cs="宋体" w:hint="eastAsia"/>
          <w:b/>
          <w:sz w:val="24"/>
        </w:rPr>
        <w:t>其他事项</w:t>
      </w:r>
    </w:p>
    <w:p w:rsidR="002E6AC2" w:rsidRPr="00CE6E32" w:rsidRDefault="00D5550B" w:rsidP="002E6AC2">
      <w:pPr>
        <w:pStyle w:val="a3"/>
        <w:spacing w:line="360" w:lineRule="auto"/>
        <w:ind w:rightChars="40" w:right="84" w:firstLine="480"/>
        <w:rPr>
          <w:rFonts w:hAnsi="宋体" w:cs="宋体"/>
          <w:sz w:val="24"/>
        </w:rPr>
      </w:pPr>
      <w:r w:rsidRPr="00CE6E32">
        <w:rPr>
          <w:rFonts w:hAnsi="宋体" w:cs="宋体" w:hint="eastAsia"/>
          <w:sz w:val="24"/>
        </w:rPr>
        <w:t>1</w:t>
      </w:r>
      <w:r w:rsidRPr="00CE6E32">
        <w:rPr>
          <w:rFonts w:hAnsi="宋体" w:cs="宋体" w:hint="eastAsia"/>
          <w:sz w:val="24"/>
        </w:rPr>
        <w:t>．投资者可通过以下途径咨询有关详情</w:t>
      </w:r>
    </w:p>
    <w:p w:rsidR="002E6AC2" w:rsidRPr="00CE6E32" w:rsidRDefault="00D5550B" w:rsidP="002E6AC2">
      <w:pPr>
        <w:pStyle w:val="a3"/>
        <w:spacing w:line="360" w:lineRule="auto"/>
        <w:ind w:rightChars="40" w:right="84" w:firstLine="480"/>
        <w:rPr>
          <w:rFonts w:hAnsi="宋体" w:cs="宋体"/>
          <w:sz w:val="24"/>
        </w:rPr>
      </w:pPr>
      <w:r w:rsidRPr="00CE6E32">
        <w:rPr>
          <w:rFonts w:hAnsi="宋体" w:cs="宋体" w:hint="eastAsia"/>
          <w:sz w:val="24"/>
        </w:rPr>
        <w:t>客户服务电话：</w:t>
      </w:r>
      <w:r w:rsidRPr="00CE6E32">
        <w:rPr>
          <w:rFonts w:hAnsi="宋体" w:cs="宋体" w:hint="eastAsia"/>
          <w:sz w:val="24"/>
        </w:rPr>
        <w:t xml:space="preserve">400-881-8088 </w:t>
      </w:r>
    </w:p>
    <w:p w:rsidR="002E6AC2" w:rsidRPr="00CE6E32" w:rsidRDefault="00D5550B" w:rsidP="002E6AC2">
      <w:pPr>
        <w:pStyle w:val="a3"/>
        <w:spacing w:line="360" w:lineRule="auto"/>
        <w:ind w:rightChars="40" w:right="84" w:firstLine="480"/>
        <w:rPr>
          <w:rFonts w:hAnsi="宋体" w:cs="宋体"/>
          <w:sz w:val="24"/>
        </w:rPr>
      </w:pPr>
      <w:r w:rsidRPr="00CE6E32">
        <w:rPr>
          <w:rFonts w:hAnsi="宋体" w:cs="宋体" w:hint="eastAsia"/>
          <w:sz w:val="24"/>
        </w:rPr>
        <w:t>网址：</w:t>
      </w:r>
      <w:r w:rsidRPr="00CE6E32">
        <w:rPr>
          <w:rFonts w:hAnsi="宋体" w:cs="宋体" w:hint="eastAsia"/>
          <w:sz w:val="24"/>
        </w:rPr>
        <w:t>www.efunds.com.cn</w:t>
      </w:r>
    </w:p>
    <w:p w:rsidR="0026523F" w:rsidRPr="0026523F" w:rsidRDefault="00D5550B" w:rsidP="0026523F">
      <w:pPr>
        <w:pStyle w:val="a3"/>
        <w:spacing w:line="360" w:lineRule="auto"/>
        <w:ind w:rightChars="40" w:right="84" w:firstLine="480"/>
        <w:rPr>
          <w:rFonts w:hAnsi="宋体" w:cs="宋体"/>
          <w:sz w:val="24"/>
        </w:rPr>
      </w:pPr>
      <w:r w:rsidRPr="00CE6E32">
        <w:rPr>
          <w:rFonts w:hAnsi="宋体" w:cs="宋体" w:hint="eastAsia"/>
          <w:sz w:val="24"/>
        </w:rPr>
        <w:t>2</w:t>
      </w:r>
      <w:r w:rsidRPr="00CE6E32">
        <w:rPr>
          <w:rFonts w:hAnsi="宋体" w:cs="宋体" w:hint="eastAsia"/>
          <w:sz w:val="24"/>
        </w:rPr>
        <w:t>．</w:t>
      </w:r>
      <w:r w:rsidRPr="0026523F">
        <w:rPr>
          <w:rFonts w:hAnsi="宋体" w:cs="宋体" w:hint="eastAsia"/>
          <w:sz w:val="24"/>
        </w:rPr>
        <w:t>基金管理人承诺以诚实信用、勤勉尽责的原则管理和运用基金资产，但不</w:t>
      </w:r>
      <w:r w:rsidRPr="0026523F">
        <w:rPr>
          <w:rFonts w:hAnsi="宋体" w:cs="宋体" w:hint="eastAsia"/>
          <w:sz w:val="24"/>
        </w:rPr>
        <w:lastRenderedPageBreak/>
        <w:t>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sidRPr="0026523F">
        <w:rPr>
          <w:rFonts w:hAnsi="宋体" w:cs="宋体"/>
          <w:sz w:val="24"/>
        </w:rPr>
        <w:t>“</w:t>
      </w:r>
      <w:r w:rsidRPr="0026523F">
        <w:rPr>
          <w:rFonts w:hAnsi="宋体" w:cs="宋体" w:hint="eastAsia"/>
          <w:sz w:val="24"/>
        </w:rPr>
        <w:t>买者自负</w:t>
      </w:r>
      <w:r w:rsidRPr="0026523F">
        <w:rPr>
          <w:rFonts w:hAnsi="宋体" w:cs="宋体"/>
          <w:sz w:val="24"/>
        </w:rPr>
        <w:t>”</w:t>
      </w:r>
      <w:r w:rsidRPr="0026523F">
        <w:rPr>
          <w:rFonts w:hAnsi="宋体" w:cs="宋体" w:hint="eastAsia"/>
          <w:sz w:val="24"/>
        </w:rPr>
        <w:t>原则，在投资者</w:t>
      </w:r>
      <w:r w:rsidRPr="0026523F">
        <w:rPr>
          <w:rFonts w:hAnsi="宋体" w:cs="宋体" w:hint="eastAsia"/>
          <w:sz w:val="24"/>
        </w:rPr>
        <w:t>作出投资决策后，基金运营状况与基金净值变化引致的投资风险，由投资者自行负责。</w:t>
      </w:r>
    </w:p>
    <w:p w:rsidR="002E6AC2" w:rsidRPr="0026523F" w:rsidRDefault="002E6AC2" w:rsidP="002E6AC2">
      <w:pPr>
        <w:pStyle w:val="a3"/>
        <w:spacing w:line="360" w:lineRule="auto"/>
        <w:ind w:rightChars="40" w:right="84" w:firstLine="480"/>
        <w:rPr>
          <w:rFonts w:hAnsi="宋体" w:cs="宋体"/>
          <w:sz w:val="24"/>
        </w:rPr>
      </w:pPr>
    </w:p>
    <w:p w:rsidR="002E6AC2" w:rsidRPr="00CE6E32" w:rsidRDefault="00D5550B" w:rsidP="002E6AC2">
      <w:pPr>
        <w:pStyle w:val="a3"/>
        <w:spacing w:line="360" w:lineRule="auto"/>
        <w:ind w:rightChars="40" w:right="84" w:firstLine="480"/>
        <w:rPr>
          <w:rFonts w:hAnsi="宋体" w:cs="宋体"/>
          <w:sz w:val="24"/>
        </w:rPr>
      </w:pPr>
      <w:r w:rsidRPr="00CE6E32">
        <w:rPr>
          <w:rFonts w:hAnsi="宋体" w:cs="宋体" w:hint="eastAsia"/>
          <w:sz w:val="24"/>
        </w:rPr>
        <w:t>特此公告。</w:t>
      </w:r>
    </w:p>
    <w:p w:rsidR="002E6AC2" w:rsidRPr="00CE6E32" w:rsidRDefault="002E6AC2" w:rsidP="002E6AC2">
      <w:pPr>
        <w:pStyle w:val="a3"/>
        <w:spacing w:line="360" w:lineRule="auto"/>
        <w:ind w:rightChars="40" w:right="84" w:firstLine="480"/>
        <w:rPr>
          <w:rFonts w:hAnsi="宋体" w:cs="宋体"/>
          <w:sz w:val="24"/>
        </w:rPr>
      </w:pPr>
    </w:p>
    <w:p w:rsidR="002E6AC2" w:rsidRPr="00CE6E32" w:rsidRDefault="002E6AC2" w:rsidP="002E6AC2">
      <w:pPr>
        <w:pStyle w:val="a3"/>
        <w:spacing w:line="360" w:lineRule="auto"/>
        <w:ind w:rightChars="40" w:right="84" w:firstLine="480"/>
        <w:rPr>
          <w:rFonts w:hAnsi="宋体" w:cs="宋体"/>
          <w:sz w:val="24"/>
        </w:rPr>
      </w:pPr>
    </w:p>
    <w:p w:rsidR="002E6AC2" w:rsidRPr="00CE6E32" w:rsidRDefault="002E6AC2" w:rsidP="002E6AC2">
      <w:pPr>
        <w:spacing w:line="360" w:lineRule="auto"/>
        <w:ind w:rightChars="40" w:right="84"/>
        <w:rPr>
          <w:rFonts w:ascii="宋体" w:hAnsi="宋体"/>
          <w:sz w:val="24"/>
          <w:szCs w:val="24"/>
        </w:rPr>
      </w:pPr>
    </w:p>
    <w:p w:rsidR="002E6AC2" w:rsidRPr="00CE6E32" w:rsidRDefault="00D5550B" w:rsidP="001E0BBC">
      <w:pPr>
        <w:spacing w:line="360" w:lineRule="auto"/>
        <w:ind w:rightChars="40" w:right="84" w:firstLineChars="1450" w:firstLine="3480"/>
        <w:jc w:val="righ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sidRPr="00CE6E32">
        <w:rPr>
          <w:rFonts w:ascii="宋体" w:hAnsi="宋体" w:hint="eastAsia"/>
          <w:sz w:val="24"/>
          <w:szCs w:val="24"/>
        </w:rPr>
        <w:t>易方达基金管理有限公司</w:t>
      </w:r>
    </w:p>
    <w:p w:rsidR="002E6AC2" w:rsidRPr="003B563E" w:rsidRDefault="00D5550B" w:rsidP="001E0BBC">
      <w:pPr>
        <w:pStyle w:val="a3"/>
        <w:spacing w:line="360" w:lineRule="auto"/>
        <w:ind w:rightChars="40" w:right="84" w:firstLineChars="1500" w:firstLine="3600"/>
        <w:jc w:val="right"/>
        <w:rPr>
          <w:rFonts w:ascii="宋体" w:hAnsi="宋体" w:cs="宋体"/>
          <w:sz w:val="24"/>
        </w:rPr>
      </w:pPr>
      <w:r w:rsidRPr="003B563E">
        <w:rPr>
          <w:rFonts w:ascii="宋体" w:hAnsi="宋体" w:cs="宋体"/>
          <w:sz w:val="24"/>
        </w:rPr>
        <w:t>2023</w:t>
      </w:r>
      <w:r w:rsidRPr="003B563E">
        <w:rPr>
          <w:rFonts w:ascii="宋体" w:hAnsi="宋体" w:cs="宋体"/>
          <w:sz w:val="24"/>
        </w:rPr>
        <w:t>年</w:t>
      </w:r>
      <w:r w:rsidR="008569F8" w:rsidRPr="003B563E">
        <w:rPr>
          <w:rFonts w:ascii="宋体" w:hAnsi="宋体" w:cs="宋体"/>
          <w:kern w:val="0"/>
          <w:sz w:val="24"/>
        </w:rPr>
        <w:t>10</w:t>
      </w:r>
      <w:r w:rsidR="001C2092" w:rsidRPr="003B563E">
        <w:rPr>
          <w:rFonts w:ascii="宋体" w:hAnsi="宋体" w:cs="宋体" w:hint="eastAsia"/>
          <w:kern w:val="0"/>
          <w:sz w:val="24"/>
        </w:rPr>
        <w:t>月</w:t>
      </w:r>
      <w:r w:rsidRPr="003B563E">
        <w:rPr>
          <w:rFonts w:ascii="宋体" w:hAnsi="宋体" w:cs="宋体"/>
          <w:kern w:val="0"/>
          <w:sz w:val="24"/>
        </w:rPr>
        <w:t>1</w:t>
      </w:r>
      <w:r w:rsidR="007B70AE">
        <w:rPr>
          <w:rFonts w:ascii="宋体" w:hAnsi="宋体" w:cs="宋体"/>
          <w:kern w:val="0"/>
          <w:sz w:val="24"/>
        </w:rPr>
        <w:t>4</w:t>
      </w:r>
      <w:r w:rsidR="001C2092" w:rsidRPr="003B563E">
        <w:rPr>
          <w:rFonts w:ascii="宋体" w:hAnsi="宋体" w:cs="宋体" w:hint="eastAsia"/>
          <w:kern w:val="0"/>
          <w:sz w:val="24"/>
        </w:rPr>
        <w:t>日</w:t>
      </w:r>
    </w:p>
    <w:p w:rsidR="002E6AC2" w:rsidRPr="00CE6E32" w:rsidRDefault="002E6AC2" w:rsidP="001E0BBC">
      <w:pPr>
        <w:pStyle w:val="a3"/>
        <w:ind w:rightChars="40" w:right="84" w:firstLineChars="1500" w:firstLine="3150"/>
        <w:jc w:val="right"/>
        <w:rPr>
          <w:rFonts w:hAnsi="宋体" w:cs="宋体"/>
          <w:szCs w:val="21"/>
        </w:rPr>
      </w:pPr>
    </w:p>
    <w:p w:rsidR="002E6AC2" w:rsidRPr="00CE6E32" w:rsidRDefault="002E6AC2" w:rsidP="002E6AC2">
      <w:pPr>
        <w:pStyle w:val="a3"/>
        <w:ind w:rightChars="40" w:right="84" w:firstLineChars="1500" w:firstLine="3150"/>
        <w:rPr>
          <w:rFonts w:hAnsi="宋体" w:cs="宋体"/>
          <w:szCs w:val="21"/>
        </w:rPr>
      </w:pPr>
    </w:p>
    <w:p w:rsidR="00CE4779" w:rsidRPr="00CE6E32" w:rsidRDefault="00CE4779" w:rsidP="00CE4779">
      <w:pPr>
        <w:ind w:rightChars="40" w:right="84"/>
        <w:jc w:val="center"/>
        <w:rPr>
          <w:b/>
          <w:i/>
          <w:szCs w:val="21"/>
        </w:rPr>
      </w:pPr>
    </w:p>
    <w:p w:rsidR="00AD71EF" w:rsidRPr="00CE6E32" w:rsidRDefault="00AD71EF" w:rsidP="00A70682">
      <w:pPr>
        <w:jc w:val="center"/>
        <w:rPr>
          <w:rFonts w:ascii="Times New Roman" w:hAnsi="Times New Roman"/>
          <w:b/>
          <w:sz w:val="24"/>
          <w:szCs w:val="24"/>
        </w:rPr>
      </w:pPr>
    </w:p>
    <w:sectPr w:rsidR="00AD71EF" w:rsidRPr="00CE6E32" w:rsidSect="004814B2">
      <w:headerReference w:type="default" r:id="rId7"/>
      <w:footerReference w:type="default" r:id="rId8"/>
      <w:pgSz w:w="11906" w:h="16838"/>
      <w:pgMar w:top="1440" w:right="1588"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BA9" w:rsidRDefault="000F0BA9" w:rsidP="000F0BA9">
      <w:r>
        <w:separator/>
      </w:r>
    </w:p>
  </w:endnote>
  <w:endnote w:type="continuationSeparator" w:id="0">
    <w:p w:rsidR="000F0BA9" w:rsidRDefault="000F0BA9" w:rsidP="000F0B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AF" w:rsidRDefault="000F0BA9">
    <w:pPr>
      <w:pStyle w:val="aa"/>
      <w:jc w:val="center"/>
    </w:pPr>
    <w:r w:rsidRPr="000F0BA9">
      <w:fldChar w:fldCharType="begin"/>
    </w:r>
    <w:r w:rsidR="00D5550B">
      <w:instrText xml:space="preserve"> PAGE   \* MERGEFORMAT </w:instrText>
    </w:r>
    <w:r w:rsidRPr="000F0BA9">
      <w:fldChar w:fldCharType="separate"/>
    </w:r>
    <w:r w:rsidR="00D5550B" w:rsidRPr="00D5550B">
      <w:rPr>
        <w:noProof/>
        <w:lang w:val="zh-CN"/>
      </w:rPr>
      <w:t>1</w:t>
    </w:r>
    <w:r>
      <w:rPr>
        <w:noProof/>
        <w:lang w:val="zh-CN"/>
      </w:rPr>
      <w:fldChar w:fldCharType="end"/>
    </w:r>
  </w:p>
  <w:p w:rsidR="00D32FAF" w:rsidRPr="003B415C" w:rsidRDefault="00D32FAF" w:rsidP="00DA1CF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BA9" w:rsidRDefault="000F0BA9" w:rsidP="000F0BA9">
      <w:r>
        <w:separator/>
      </w:r>
    </w:p>
  </w:footnote>
  <w:footnote w:type="continuationSeparator" w:id="0">
    <w:p w:rsidR="000F0BA9" w:rsidRDefault="000F0BA9" w:rsidP="000F0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AF" w:rsidRDefault="00D32FAF" w:rsidP="005403FC"/>
  <w:p w:rsidR="00D32FAF" w:rsidRPr="003406CA" w:rsidRDefault="00D5550B" w:rsidP="005403FC">
    <w:r>
      <w:rPr>
        <w:rFonts w:hint="eastAsia"/>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6AC2"/>
    <w:rsid w:val="000358E7"/>
    <w:rsid w:val="00042630"/>
    <w:rsid w:val="000503E5"/>
    <w:rsid w:val="0006271A"/>
    <w:rsid w:val="00065319"/>
    <w:rsid w:val="0007075F"/>
    <w:rsid w:val="0007650F"/>
    <w:rsid w:val="000A1133"/>
    <w:rsid w:val="000E669C"/>
    <w:rsid w:val="000F0119"/>
    <w:rsid w:val="000F0BA9"/>
    <w:rsid w:val="000F2B4C"/>
    <w:rsid w:val="0010193F"/>
    <w:rsid w:val="0011354A"/>
    <w:rsid w:val="00114FC9"/>
    <w:rsid w:val="0011768C"/>
    <w:rsid w:val="0012711B"/>
    <w:rsid w:val="00140519"/>
    <w:rsid w:val="001547BF"/>
    <w:rsid w:val="00167D27"/>
    <w:rsid w:val="00170216"/>
    <w:rsid w:val="001702C4"/>
    <w:rsid w:val="001707B7"/>
    <w:rsid w:val="0019535B"/>
    <w:rsid w:val="00195539"/>
    <w:rsid w:val="001B3CDE"/>
    <w:rsid w:val="001C2092"/>
    <w:rsid w:val="001D7B69"/>
    <w:rsid w:val="001E0BBC"/>
    <w:rsid w:val="001E5208"/>
    <w:rsid w:val="001E67FC"/>
    <w:rsid w:val="001F6B21"/>
    <w:rsid w:val="002056EE"/>
    <w:rsid w:val="00205AE3"/>
    <w:rsid w:val="00206587"/>
    <w:rsid w:val="002164CF"/>
    <w:rsid w:val="00223371"/>
    <w:rsid w:val="00230CC7"/>
    <w:rsid w:val="0023332E"/>
    <w:rsid w:val="0026523F"/>
    <w:rsid w:val="00276594"/>
    <w:rsid w:val="00292984"/>
    <w:rsid w:val="002A0E18"/>
    <w:rsid w:val="002A62DA"/>
    <w:rsid w:val="002A7E0F"/>
    <w:rsid w:val="002B5984"/>
    <w:rsid w:val="002C6496"/>
    <w:rsid w:val="002E6AC2"/>
    <w:rsid w:val="002E77C5"/>
    <w:rsid w:val="00321E96"/>
    <w:rsid w:val="003406CA"/>
    <w:rsid w:val="00376B63"/>
    <w:rsid w:val="00376F28"/>
    <w:rsid w:val="003822B9"/>
    <w:rsid w:val="00392443"/>
    <w:rsid w:val="003A0246"/>
    <w:rsid w:val="003A0A38"/>
    <w:rsid w:val="003A6671"/>
    <w:rsid w:val="003B415C"/>
    <w:rsid w:val="003B4208"/>
    <w:rsid w:val="003B563E"/>
    <w:rsid w:val="003B595F"/>
    <w:rsid w:val="003C0D6E"/>
    <w:rsid w:val="003C4EBB"/>
    <w:rsid w:val="003C64D7"/>
    <w:rsid w:val="004016D8"/>
    <w:rsid w:val="00403D96"/>
    <w:rsid w:val="00406D02"/>
    <w:rsid w:val="00416538"/>
    <w:rsid w:val="00420E5F"/>
    <w:rsid w:val="00424FF9"/>
    <w:rsid w:val="004349CE"/>
    <w:rsid w:val="0046147A"/>
    <w:rsid w:val="00462103"/>
    <w:rsid w:val="00463650"/>
    <w:rsid w:val="0046563C"/>
    <w:rsid w:val="004669C7"/>
    <w:rsid w:val="00477D2B"/>
    <w:rsid w:val="00480116"/>
    <w:rsid w:val="004814B2"/>
    <w:rsid w:val="004A1A02"/>
    <w:rsid w:val="004A3C13"/>
    <w:rsid w:val="004B22FD"/>
    <w:rsid w:val="004B2EEB"/>
    <w:rsid w:val="004B6AC4"/>
    <w:rsid w:val="004C511F"/>
    <w:rsid w:val="004D023E"/>
    <w:rsid w:val="004D510B"/>
    <w:rsid w:val="004F3A75"/>
    <w:rsid w:val="00505966"/>
    <w:rsid w:val="00505C65"/>
    <w:rsid w:val="00506075"/>
    <w:rsid w:val="0051254F"/>
    <w:rsid w:val="00520B16"/>
    <w:rsid w:val="005403FC"/>
    <w:rsid w:val="00564D55"/>
    <w:rsid w:val="0056765F"/>
    <w:rsid w:val="005944D0"/>
    <w:rsid w:val="005A467C"/>
    <w:rsid w:val="005E2C75"/>
    <w:rsid w:val="005F30BB"/>
    <w:rsid w:val="00603E90"/>
    <w:rsid w:val="006167C7"/>
    <w:rsid w:val="00616B28"/>
    <w:rsid w:val="0066686F"/>
    <w:rsid w:val="00675689"/>
    <w:rsid w:val="00680ADB"/>
    <w:rsid w:val="006B6D48"/>
    <w:rsid w:val="006C3621"/>
    <w:rsid w:val="006C76C2"/>
    <w:rsid w:val="006D09B1"/>
    <w:rsid w:val="006F29EB"/>
    <w:rsid w:val="006F5E5B"/>
    <w:rsid w:val="007044C9"/>
    <w:rsid w:val="007055A9"/>
    <w:rsid w:val="00710E31"/>
    <w:rsid w:val="0071299C"/>
    <w:rsid w:val="0072036E"/>
    <w:rsid w:val="00721F23"/>
    <w:rsid w:val="00725067"/>
    <w:rsid w:val="0073691F"/>
    <w:rsid w:val="00740C88"/>
    <w:rsid w:val="00745404"/>
    <w:rsid w:val="00773574"/>
    <w:rsid w:val="00782CFC"/>
    <w:rsid w:val="0079375A"/>
    <w:rsid w:val="00797205"/>
    <w:rsid w:val="007A0DB8"/>
    <w:rsid w:val="007B70AE"/>
    <w:rsid w:val="007E22C2"/>
    <w:rsid w:val="00803176"/>
    <w:rsid w:val="00807005"/>
    <w:rsid w:val="0081673E"/>
    <w:rsid w:val="00822372"/>
    <w:rsid w:val="00823B42"/>
    <w:rsid w:val="008350E9"/>
    <w:rsid w:val="008430C3"/>
    <w:rsid w:val="008545C2"/>
    <w:rsid w:val="008569F8"/>
    <w:rsid w:val="00862B5B"/>
    <w:rsid w:val="008648BE"/>
    <w:rsid w:val="00871EB3"/>
    <w:rsid w:val="00872149"/>
    <w:rsid w:val="008726F9"/>
    <w:rsid w:val="008775BC"/>
    <w:rsid w:val="00885468"/>
    <w:rsid w:val="00894C81"/>
    <w:rsid w:val="008A1C82"/>
    <w:rsid w:val="008A4964"/>
    <w:rsid w:val="008B6DD3"/>
    <w:rsid w:val="008B75A2"/>
    <w:rsid w:val="008D5951"/>
    <w:rsid w:val="008E6C42"/>
    <w:rsid w:val="00913B4A"/>
    <w:rsid w:val="00915107"/>
    <w:rsid w:val="00920A5D"/>
    <w:rsid w:val="00922686"/>
    <w:rsid w:val="009327F6"/>
    <w:rsid w:val="00935C9D"/>
    <w:rsid w:val="009363C0"/>
    <w:rsid w:val="00937DE6"/>
    <w:rsid w:val="00940861"/>
    <w:rsid w:val="00941F39"/>
    <w:rsid w:val="009608A0"/>
    <w:rsid w:val="00963EB3"/>
    <w:rsid w:val="00983843"/>
    <w:rsid w:val="00994C2D"/>
    <w:rsid w:val="009A03EF"/>
    <w:rsid w:val="009B0889"/>
    <w:rsid w:val="009C31E9"/>
    <w:rsid w:val="009D2A5D"/>
    <w:rsid w:val="009D4C1E"/>
    <w:rsid w:val="009D734E"/>
    <w:rsid w:val="009E500B"/>
    <w:rsid w:val="009E7412"/>
    <w:rsid w:val="009F1DCE"/>
    <w:rsid w:val="009F48BB"/>
    <w:rsid w:val="00A036BD"/>
    <w:rsid w:val="00A460D6"/>
    <w:rsid w:val="00A70682"/>
    <w:rsid w:val="00A85594"/>
    <w:rsid w:val="00A96599"/>
    <w:rsid w:val="00AB0D8C"/>
    <w:rsid w:val="00AD23F0"/>
    <w:rsid w:val="00AD71EF"/>
    <w:rsid w:val="00AE4FFF"/>
    <w:rsid w:val="00AE5E13"/>
    <w:rsid w:val="00AF1786"/>
    <w:rsid w:val="00AF3D56"/>
    <w:rsid w:val="00AF6AAD"/>
    <w:rsid w:val="00B23A56"/>
    <w:rsid w:val="00B26E08"/>
    <w:rsid w:val="00B60641"/>
    <w:rsid w:val="00B67F48"/>
    <w:rsid w:val="00B71CBD"/>
    <w:rsid w:val="00B80122"/>
    <w:rsid w:val="00B80314"/>
    <w:rsid w:val="00B94756"/>
    <w:rsid w:val="00BB26CD"/>
    <w:rsid w:val="00BC3321"/>
    <w:rsid w:val="00BC3EAD"/>
    <w:rsid w:val="00BE365B"/>
    <w:rsid w:val="00BF5187"/>
    <w:rsid w:val="00C17E4F"/>
    <w:rsid w:val="00C31268"/>
    <w:rsid w:val="00C3173C"/>
    <w:rsid w:val="00C32111"/>
    <w:rsid w:val="00C33F8C"/>
    <w:rsid w:val="00C40499"/>
    <w:rsid w:val="00C43C2D"/>
    <w:rsid w:val="00C546FD"/>
    <w:rsid w:val="00C74712"/>
    <w:rsid w:val="00C75695"/>
    <w:rsid w:val="00CC65F9"/>
    <w:rsid w:val="00CD7E7F"/>
    <w:rsid w:val="00CE4779"/>
    <w:rsid w:val="00CE6E32"/>
    <w:rsid w:val="00CF5B17"/>
    <w:rsid w:val="00D15240"/>
    <w:rsid w:val="00D215D5"/>
    <w:rsid w:val="00D2739C"/>
    <w:rsid w:val="00D32FAF"/>
    <w:rsid w:val="00D35F73"/>
    <w:rsid w:val="00D43343"/>
    <w:rsid w:val="00D5550B"/>
    <w:rsid w:val="00D75FFB"/>
    <w:rsid w:val="00D849FE"/>
    <w:rsid w:val="00D86915"/>
    <w:rsid w:val="00DA1CC9"/>
    <w:rsid w:val="00DA1CF4"/>
    <w:rsid w:val="00DC4889"/>
    <w:rsid w:val="00DD1086"/>
    <w:rsid w:val="00DE1459"/>
    <w:rsid w:val="00DE1588"/>
    <w:rsid w:val="00DF4A9C"/>
    <w:rsid w:val="00DF6E4F"/>
    <w:rsid w:val="00E1204B"/>
    <w:rsid w:val="00E23C74"/>
    <w:rsid w:val="00E3712D"/>
    <w:rsid w:val="00E64E89"/>
    <w:rsid w:val="00E709EC"/>
    <w:rsid w:val="00E70F44"/>
    <w:rsid w:val="00E939EA"/>
    <w:rsid w:val="00EA2212"/>
    <w:rsid w:val="00EB5CBB"/>
    <w:rsid w:val="00EC0226"/>
    <w:rsid w:val="00EC34A2"/>
    <w:rsid w:val="00ED1A7D"/>
    <w:rsid w:val="00ED2D93"/>
    <w:rsid w:val="00EF27E2"/>
    <w:rsid w:val="00EF5803"/>
    <w:rsid w:val="00EF5A93"/>
    <w:rsid w:val="00EF63EA"/>
    <w:rsid w:val="00F020EB"/>
    <w:rsid w:val="00F25229"/>
    <w:rsid w:val="00F26C6B"/>
    <w:rsid w:val="00F355B7"/>
    <w:rsid w:val="00F37CF9"/>
    <w:rsid w:val="00F4382B"/>
    <w:rsid w:val="00F55A12"/>
    <w:rsid w:val="00F70796"/>
    <w:rsid w:val="00F72FA2"/>
    <w:rsid w:val="00F82EFB"/>
    <w:rsid w:val="00F866DB"/>
    <w:rsid w:val="00FA079C"/>
    <w:rsid w:val="00FB0CE9"/>
    <w:rsid w:val="00FB3960"/>
    <w:rsid w:val="00FB7174"/>
    <w:rsid w:val="00FD0478"/>
    <w:rsid w:val="00FD3E93"/>
    <w:rsid w:val="00FE3B07"/>
    <w:rsid w:val="00FF51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A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6AC2"/>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2E6AC2"/>
    <w:pPr>
      <w:ind w:firstLineChars="200" w:firstLine="420"/>
    </w:pPr>
    <w:rPr>
      <w:rFonts w:ascii="Times New Roman" w:eastAsia="宋体" w:hAnsi="Times New Roman" w:cs="Times New Roman"/>
      <w:szCs w:val="24"/>
    </w:rPr>
  </w:style>
  <w:style w:type="table" w:styleId="a4">
    <w:name w:val="Table Grid"/>
    <w:basedOn w:val="a1"/>
    <w:uiPriority w:val="39"/>
    <w:rsid w:val="002E6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2E6AC2"/>
    <w:rPr>
      <w:sz w:val="21"/>
      <w:szCs w:val="21"/>
    </w:rPr>
  </w:style>
  <w:style w:type="paragraph" w:styleId="a6">
    <w:name w:val="annotation text"/>
    <w:basedOn w:val="a"/>
    <w:link w:val="Char"/>
    <w:uiPriority w:val="99"/>
    <w:semiHidden/>
    <w:unhideWhenUsed/>
    <w:rsid w:val="002E6AC2"/>
    <w:pPr>
      <w:jc w:val="left"/>
    </w:pPr>
  </w:style>
  <w:style w:type="character" w:customStyle="1" w:styleId="Char">
    <w:name w:val="批注文字 Char"/>
    <w:basedOn w:val="a0"/>
    <w:link w:val="a6"/>
    <w:uiPriority w:val="99"/>
    <w:semiHidden/>
    <w:rsid w:val="002E6AC2"/>
  </w:style>
  <w:style w:type="paragraph" w:styleId="a7">
    <w:name w:val="Balloon Text"/>
    <w:basedOn w:val="a"/>
    <w:link w:val="Char0"/>
    <w:uiPriority w:val="99"/>
    <w:semiHidden/>
    <w:unhideWhenUsed/>
    <w:rsid w:val="002E6AC2"/>
    <w:rPr>
      <w:sz w:val="18"/>
      <w:szCs w:val="18"/>
    </w:rPr>
  </w:style>
  <w:style w:type="character" w:customStyle="1" w:styleId="Char0">
    <w:name w:val="批注框文本 Char"/>
    <w:basedOn w:val="a0"/>
    <w:link w:val="a7"/>
    <w:uiPriority w:val="99"/>
    <w:semiHidden/>
    <w:rsid w:val="002E6AC2"/>
    <w:rPr>
      <w:sz w:val="18"/>
      <w:szCs w:val="18"/>
    </w:rPr>
  </w:style>
  <w:style w:type="paragraph" w:styleId="a8">
    <w:name w:val="annotation subject"/>
    <w:basedOn w:val="a6"/>
    <w:next w:val="a6"/>
    <w:link w:val="Char1"/>
    <w:uiPriority w:val="99"/>
    <w:semiHidden/>
    <w:unhideWhenUsed/>
    <w:rsid w:val="007A0DB8"/>
    <w:rPr>
      <w:b/>
      <w:bCs/>
    </w:rPr>
  </w:style>
  <w:style w:type="character" w:customStyle="1" w:styleId="Char1">
    <w:name w:val="批注主题 Char"/>
    <w:basedOn w:val="Char"/>
    <w:link w:val="a8"/>
    <w:uiPriority w:val="99"/>
    <w:semiHidden/>
    <w:rsid w:val="007A0DB8"/>
    <w:rPr>
      <w:b/>
      <w:bCs/>
    </w:rPr>
  </w:style>
  <w:style w:type="paragraph" w:styleId="a9">
    <w:name w:val="header"/>
    <w:basedOn w:val="a"/>
    <w:link w:val="Char2"/>
    <w:uiPriority w:val="99"/>
    <w:unhideWhenUsed/>
    <w:rsid w:val="003A0A3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3A0A38"/>
    <w:rPr>
      <w:sz w:val="18"/>
      <w:szCs w:val="18"/>
    </w:rPr>
  </w:style>
  <w:style w:type="paragraph" w:styleId="aa">
    <w:name w:val="footer"/>
    <w:basedOn w:val="a"/>
    <w:link w:val="Char3"/>
    <w:uiPriority w:val="99"/>
    <w:unhideWhenUsed/>
    <w:rsid w:val="003A0A38"/>
    <w:pPr>
      <w:tabs>
        <w:tab w:val="center" w:pos="4153"/>
        <w:tab w:val="right" w:pos="8306"/>
      </w:tabs>
      <w:snapToGrid w:val="0"/>
      <w:jc w:val="left"/>
    </w:pPr>
    <w:rPr>
      <w:sz w:val="18"/>
      <w:szCs w:val="18"/>
    </w:rPr>
  </w:style>
  <w:style w:type="character" w:customStyle="1" w:styleId="Char3">
    <w:name w:val="页脚 Char"/>
    <w:basedOn w:val="a0"/>
    <w:link w:val="aa"/>
    <w:uiPriority w:val="99"/>
    <w:rsid w:val="003A0A38"/>
    <w:rPr>
      <w:sz w:val="18"/>
      <w:szCs w:val="18"/>
    </w:rPr>
  </w:style>
  <w:style w:type="paragraph" w:styleId="ab">
    <w:name w:val="Revision"/>
    <w:hidden/>
    <w:uiPriority w:val="99"/>
    <w:semiHidden/>
    <w:rsid w:val="00CE47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5C24-7858-4B9B-A2A1-7C256F97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1689</Characters>
  <Application>Microsoft Office Word</Application>
  <DocSecurity>4</DocSecurity>
  <Lines>14</Lines>
  <Paragraphs>3</Paragraphs>
  <ScaleCrop>false</ScaleCrop>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2023-10-13T16:01:00Z</dcterms:created>
  <dcterms:modified xsi:type="dcterms:W3CDTF">2023-10-13T16:01:00Z</dcterms:modified>
</cp:coreProperties>
</file>