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CC8" w:rsidRDefault="005C098B">
      <w:pPr>
        <w:widowControl/>
        <w:spacing w:line="360" w:lineRule="auto"/>
        <w:jc w:val="center"/>
        <w:rPr>
          <w:rFonts w:ascii="宋体" w:hAnsi="宋体" w:cs="宋体"/>
          <w:kern w:val="0"/>
          <w:sz w:val="28"/>
          <w:szCs w:val="28"/>
        </w:rPr>
      </w:pPr>
      <w:r>
        <w:rPr>
          <w:rFonts w:ascii="宋体" w:hAnsi="宋体" w:cs="宋体" w:hint="eastAsia"/>
          <w:kern w:val="0"/>
          <w:sz w:val="28"/>
          <w:szCs w:val="28"/>
        </w:rPr>
        <w:t>工银瑞信基金管理有限公司关于旗下基金</w:t>
      </w:r>
    </w:p>
    <w:p w:rsidR="00FD1CC8" w:rsidRDefault="005C098B">
      <w:pPr>
        <w:widowControl/>
        <w:spacing w:line="360" w:lineRule="auto"/>
        <w:jc w:val="center"/>
        <w:rPr>
          <w:rFonts w:ascii="宋体" w:hAnsi="宋体" w:cs="宋体"/>
          <w:kern w:val="0"/>
          <w:sz w:val="28"/>
          <w:szCs w:val="28"/>
        </w:rPr>
      </w:pPr>
      <w:r>
        <w:rPr>
          <w:rFonts w:ascii="宋体" w:hAnsi="宋体" w:cs="宋体" w:hint="eastAsia"/>
          <w:kern w:val="0"/>
          <w:sz w:val="28"/>
          <w:szCs w:val="28"/>
        </w:rPr>
        <w:t>投资招商局蛇口工业区控股股份有限公司非公开发行股票的公告</w:t>
      </w:r>
    </w:p>
    <w:p w:rsidR="00FD1CC8" w:rsidRDefault="005C098B" w:rsidP="00F35B89">
      <w:pPr>
        <w:tabs>
          <w:tab w:val="left" w:pos="630"/>
          <w:tab w:val="left" w:pos="735"/>
        </w:tabs>
        <w:spacing w:beforeLines="50" w:afterLines="50"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工银瑞信基金管理有限公司（以下简称“本公司”）旗下基金参加了招商局蛇口工业区控股股份有限公司（招商蛇口，代码001979)非公开发行股票的认购。根据中国证监会《关于基金投资非公开发行股票等流通受限证券有关问题的通知》等有关规定，本公司现将旗下基金投资招商局蛇口工业区控股股份有限公司非公开发行股票的情况披露如下：</w:t>
      </w:r>
      <w:r>
        <w:rPr>
          <w:rFonts w:ascii="宋体" w:hAnsi="宋体" w:cs="宋体"/>
          <w:kern w:val="0"/>
          <w:sz w:val="24"/>
          <w:szCs w:val="24"/>
        </w:rPr>
        <w:t xml:space="preserve"> </w:t>
      </w:r>
    </w:p>
    <w:tbl>
      <w:tblPr>
        <w:tblStyle w:val="a8"/>
        <w:tblW w:w="0" w:type="auto"/>
        <w:tblLook w:val="04A0"/>
      </w:tblPr>
      <w:tblGrid>
        <w:gridCol w:w="656"/>
        <w:gridCol w:w="1802"/>
        <w:gridCol w:w="1305"/>
        <w:gridCol w:w="1754"/>
        <w:gridCol w:w="1107"/>
        <w:gridCol w:w="1719"/>
        <w:gridCol w:w="975"/>
        <w:gridCol w:w="876"/>
      </w:tblGrid>
      <w:tr w:rsidR="00FD1CC8" w:rsidTr="0006208B">
        <w:tc>
          <w:tcPr>
            <w:tcW w:w="0" w:type="auto"/>
            <w:noWrap/>
            <w:vAlign w:val="center"/>
          </w:tcPr>
          <w:p w:rsidR="00FD1CC8" w:rsidRDefault="005C09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序号</w:t>
            </w:r>
          </w:p>
        </w:tc>
        <w:tc>
          <w:tcPr>
            <w:tcW w:w="1802" w:type="dxa"/>
            <w:noWrap/>
            <w:vAlign w:val="center"/>
          </w:tcPr>
          <w:p w:rsidR="00FD1CC8" w:rsidRDefault="005C09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基金名称</w:t>
            </w:r>
          </w:p>
        </w:tc>
        <w:tc>
          <w:tcPr>
            <w:tcW w:w="1305" w:type="dxa"/>
            <w:noWrap/>
            <w:vAlign w:val="center"/>
          </w:tcPr>
          <w:p w:rsidR="00FD1CC8" w:rsidRDefault="005C09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认购数量（股）</w:t>
            </w:r>
          </w:p>
        </w:tc>
        <w:tc>
          <w:tcPr>
            <w:tcW w:w="1754" w:type="dxa"/>
            <w:noWrap/>
            <w:vAlign w:val="center"/>
          </w:tcPr>
          <w:p w:rsidR="00FD1CC8" w:rsidRDefault="005C09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总成本（元）</w:t>
            </w:r>
          </w:p>
        </w:tc>
        <w:tc>
          <w:tcPr>
            <w:tcW w:w="1107" w:type="dxa"/>
            <w:vAlign w:val="center"/>
          </w:tcPr>
          <w:p w:rsidR="00FD1CC8" w:rsidRDefault="005C09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总成本占基金资产净值比例</w:t>
            </w:r>
          </w:p>
        </w:tc>
        <w:tc>
          <w:tcPr>
            <w:tcW w:w="1719" w:type="dxa"/>
            <w:vAlign w:val="center"/>
          </w:tcPr>
          <w:p w:rsidR="00FD1CC8" w:rsidRDefault="005C09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 xml:space="preserve"> 账面价值（元） </w:t>
            </w:r>
          </w:p>
        </w:tc>
        <w:tc>
          <w:tcPr>
            <w:tcW w:w="975" w:type="dxa"/>
            <w:vAlign w:val="center"/>
          </w:tcPr>
          <w:p w:rsidR="00FD1CC8" w:rsidRDefault="005C09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账面价值占基金资产净值比例</w:t>
            </w:r>
          </w:p>
        </w:tc>
        <w:tc>
          <w:tcPr>
            <w:tcW w:w="0" w:type="auto"/>
            <w:noWrap/>
            <w:vAlign w:val="center"/>
          </w:tcPr>
          <w:p w:rsidR="00FD1CC8" w:rsidRDefault="005C09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限售期</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1</w:t>
            </w:r>
          </w:p>
        </w:tc>
        <w:tc>
          <w:tcPr>
            <w:tcW w:w="1802" w:type="dxa"/>
            <w:noWrap/>
            <w:vAlign w:val="center"/>
          </w:tcPr>
          <w:p w:rsidR="0006208B" w:rsidRDefault="0006208B" w:rsidP="0006208B">
            <w:pPr>
              <w:widowControl/>
              <w:jc w:val="left"/>
              <w:textAlignment w:val="center"/>
              <w:rPr>
                <w:rFonts w:ascii="宋体" w:hAnsi="宋体" w:cs="宋体"/>
                <w:kern w:val="0"/>
                <w:sz w:val="22"/>
                <w:szCs w:val="24"/>
              </w:rPr>
            </w:pPr>
            <w:r>
              <w:rPr>
                <w:rFonts w:ascii="宋体" w:hAnsi="宋体" w:cs="宋体" w:hint="eastAsia"/>
                <w:color w:val="000000"/>
                <w:kern w:val="0"/>
                <w:sz w:val="22"/>
                <w:szCs w:val="22"/>
                <w:lang/>
              </w:rPr>
              <w:t>工银瑞信金融地产行业混合型证券投资基金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3,810,330</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44</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997.30</w:t>
            </w:r>
          </w:p>
        </w:tc>
        <w:tc>
          <w:tcPr>
            <w:tcW w:w="1107" w:type="dxa"/>
            <w:noWrap/>
            <w:vAlign w:val="center"/>
          </w:tcPr>
          <w:p w:rsidR="0006208B" w:rsidRPr="00305458" w:rsidRDefault="0006208B" w:rsidP="00305458">
            <w:pPr>
              <w:jc w:val="center"/>
              <w:rPr>
                <w:rFonts w:eastAsia="等线"/>
                <w:color w:val="000000"/>
                <w:sz w:val="22"/>
                <w:szCs w:val="22"/>
              </w:rPr>
            </w:pPr>
            <w:r>
              <w:rPr>
                <w:rFonts w:eastAsia="等线"/>
                <w:color w:val="000000"/>
                <w:sz w:val="22"/>
                <w:szCs w:val="22"/>
              </w:rPr>
              <w:t>1.53%</w:t>
            </w:r>
          </w:p>
        </w:tc>
        <w:tc>
          <w:tcPr>
            <w:tcW w:w="1719" w:type="dxa"/>
            <w:noWrap/>
            <w:vAlign w:val="center"/>
          </w:tcPr>
          <w:p w:rsidR="0006208B" w:rsidRPr="00305458" w:rsidRDefault="0006208B" w:rsidP="00305458">
            <w:pPr>
              <w:jc w:val="center"/>
              <w:rPr>
                <w:rFonts w:eastAsia="等线"/>
                <w:color w:val="000000"/>
                <w:sz w:val="22"/>
                <w:szCs w:val="22"/>
              </w:rPr>
            </w:pPr>
            <w:r>
              <w:rPr>
                <w:rFonts w:eastAsia="等线"/>
                <w:color w:val="000000"/>
                <w:sz w:val="22"/>
                <w:szCs w:val="22"/>
              </w:rPr>
              <w:t>43,895,001.60</w:t>
            </w:r>
          </w:p>
        </w:tc>
        <w:tc>
          <w:tcPr>
            <w:tcW w:w="975" w:type="dxa"/>
            <w:noWrap/>
            <w:vAlign w:val="center"/>
          </w:tcPr>
          <w:p w:rsidR="0006208B" w:rsidRPr="00305458" w:rsidRDefault="0006208B" w:rsidP="00305458">
            <w:pPr>
              <w:jc w:val="center"/>
              <w:rPr>
                <w:rFonts w:eastAsia="等线"/>
                <w:color w:val="000000"/>
                <w:sz w:val="22"/>
                <w:szCs w:val="22"/>
              </w:rPr>
            </w:pPr>
            <w:r>
              <w:rPr>
                <w:rFonts w:eastAsia="等线"/>
                <w:color w:val="000000"/>
                <w:sz w:val="22"/>
                <w:szCs w:val="22"/>
              </w:rPr>
              <w:t>1.49%</w:t>
            </w:r>
          </w:p>
        </w:tc>
        <w:tc>
          <w:tcPr>
            <w:tcW w:w="0" w:type="auto"/>
            <w:noWrap/>
            <w:vAlign w:val="center"/>
          </w:tcPr>
          <w:p w:rsidR="0006208B" w:rsidRDefault="0006208B" w:rsidP="00F35B89">
            <w:pPr>
              <w:tabs>
                <w:tab w:val="left" w:pos="630"/>
                <w:tab w:val="left" w:pos="735"/>
              </w:tabs>
              <w:spacing w:beforeLines="50" w:afterLines="50" w:line="360" w:lineRule="auto"/>
              <w:jc w:val="center"/>
              <w:rPr>
                <w:kern w:val="0"/>
                <w:sz w:val="22"/>
                <w:szCs w:val="24"/>
              </w:rPr>
            </w:pPr>
            <w:r>
              <w:rPr>
                <w:kern w:val="0"/>
                <w:sz w:val="22"/>
                <w:szCs w:val="24"/>
              </w:rPr>
              <w:t>6</w:t>
            </w:r>
            <w:r>
              <w:rPr>
                <w:kern w:val="0"/>
                <w:sz w:val="22"/>
                <w:szCs w:val="24"/>
              </w:rPr>
              <w:t>个月</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2</w:t>
            </w:r>
          </w:p>
        </w:tc>
        <w:tc>
          <w:tcPr>
            <w:tcW w:w="1802" w:type="dxa"/>
            <w:noWrap/>
            <w:vAlign w:val="center"/>
          </w:tcPr>
          <w:p w:rsidR="0006208B" w:rsidRDefault="0006208B" w:rsidP="0006208B">
            <w:pPr>
              <w:widowControl/>
              <w:jc w:val="left"/>
              <w:textAlignment w:val="center"/>
              <w:rPr>
                <w:rFonts w:ascii="宋体" w:hAnsi="宋体" w:cs="宋体"/>
                <w:kern w:val="0"/>
                <w:sz w:val="22"/>
                <w:szCs w:val="24"/>
              </w:rPr>
            </w:pPr>
            <w:r>
              <w:rPr>
                <w:rFonts w:ascii="宋体" w:hAnsi="宋体" w:cs="宋体" w:hint="eastAsia"/>
                <w:color w:val="000000"/>
                <w:kern w:val="0"/>
                <w:sz w:val="22"/>
                <w:szCs w:val="22"/>
                <w:lang/>
              </w:rPr>
              <w:t>工银瑞信战略转型主题股票型证券投资基金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5,503,810</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64</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996.10</w:t>
            </w:r>
          </w:p>
        </w:tc>
        <w:tc>
          <w:tcPr>
            <w:tcW w:w="1107"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1.94%</w:t>
            </w:r>
          </w:p>
        </w:tc>
        <w:tc>
          <w:tcPr>
            <w:tcW w:w="1719"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63,403,891.20</w:t>
            </w:r>
          </w:p>
        </w:tc>
        <w:tc>
          <w:tcPr>
            <w:tcW w:w="975"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1.89%</w:t>
            </w:r>
          </w:p>
        </w:tc>
        <w:tc>
          <w:tcPr>
            <w:tcW w:w="0" w:type="auto"/>
            <w:noWrap/>
            <w:vAlign w:val="center"/>
          </w:tcPr>
          <w:p w:rsidR="0006208B" w:rsidRDefault="0006208B" w:rsidP="00F35B89">
            <w:pPr>
              <w:tabs>
                <w:tab w:val="left" w:pos="630"/>
                <w:tab w:val="left" w:pos="735"/>
              </w:tabs>
              <w:spacing w:beforeLines="50" w:afterLines="50" w:line="360" w:lineRule="auto"/>
              <w:jc w:val="center"/>
              <w:rPr>
                <w:kern w:val="0"/>
                <w:sz w:val="22"/>
                <w:szCs w:val="24"/>
              </w:rPr>
            </w:pPr>
            <w:r>
              <w:rPr>
                <w:kern w:val="0"/>
                <w:sz w:val="22"/>
                <w:szCs w:val="24"/>
              </w:rPr>
              <w:t>6</w:t>
            </w:r>
            <w:r>
              <w:rPr>
                <w:kern w:val="0"/>
                <w:sz w:val="22"/>
                <w:szCs w:val="24"/>
              </w:rPr>
              <w:t>个月</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3</w:t>
            </w:r>
          </w:p>
        </w:tc>
        <w:tc>
          <w:tcPr>
            <w:tcW w:w="1802" w:type="dxa"/>
            <w:noWrap/>
            <w:vAlign w:val="center"/>
          </w:tcPr>
          <w:p w:rsidR="0006208B" w:rsidRDefault="0006208B" w:rsidP="0006208B">
            <w:pPr>
              <w:widowControl/>
              <w:jc w:val="left"/>
              <w:textAlignment w:val="center"/>
              <w:rPr>
                <w:rFonts w:ascii="宋体" w:hAnsi="宋体" w:cs="宋体"/>
                <w:kern w:val="0"/>
                <w:sz w:val="22"/>
                <w:szCs w:val="24"/>
              </w:rPr>
            </w:pPr>
            <w:r>
              <w:rPr>
                <w:rFonts w:ascii="宋体" w:hAnsi="宋体" w:cs="宋体" w:hint="eastAsia"/>
                <w:color w:val="000000"/>
                <w:kern w:val="0"/>
                <w:sz w:val="22"/>
                <w:szCs w:val="22"/>
                <w:lang/>
              </w:rPr>
              <w:t>工银瑞信国企改革主题股票型证券投资基金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1,270,110</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14</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999.10</w:t>
            </w:r>
          </w:p>
        </w:tc>
        <w:tc>
          <w:tcPr>
            <w:tcW w:w="1107"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1.99%</w:t>
            </w:r>
          </w:p>
        </w:tc>
        <w:tc>
          <w:tcPr>
            <w:tcW w:w="1719"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14,631,667.20</w:t>
            </w:r>
          </w:p>
        </w:tc>
        <w:tc>
          <w:tcPr>
            <w:tcW w:w="975"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1.94%</w:t>
            </w:r>
          </w:p>
        </w:tc>
        <w:tc>
          <w:tcPr>
            <w:tcW w:w="0" w:type="auto"/>
            <w:noWrap/>
            <w:vAlign w:val="center"/>
          </w:tcPr>
          <w:p w:rsidR="0006208B" w:rsidRDefault="0006208B" w:rsidP="00F35B89">
            <w:pPr>
              <w:spacing w:beforeLines="50" w:afterLines="50" w:line="360" w:lineRule="auto"/>
              <w:jc w:val="center"/>
              <w:rPr>
                <w:kern w:val="0"/>
                <w:sz w:val="22"/>
                <w:szCs w:val="24"/>
              </w:rPr>
            </w:pPr>
            <w:r>
              <w:rPr>
                <w:kern w:val="0"/>
                <w:sz w:val="22"/>
                <w:szCs w:val="24"/>
              </w:rPr>
              <w:t>6</w:t>
            </w:r>
            <w:r>
              <w:rPr>
                <w:kern w:val="0"/>
                <w:sz w:val="22"/>
                <w:szCs w:val="24"/>
              </w:rPr>
              <w:t>个月</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4</w:t>
            </w:r>
          </w:p>
        </w:tc>
        <w:tc>
          <w:tcPr>
            <w:tcW w:w="1802" w:type="dxa"/>
            <w:noWrap/>
            <w:vAlign w:val="center"/>
          </w:tcPr>
          <w:p w:rsidR="0006208B" w:rsidRDefault="0006208B" w:rsidP="0006208B">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工银瑞信新金融股票型证券投资基金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2,116,850</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24</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998.50</w:t>
            </w:r>
          </w:p>
        </w:tc>
        <w:tc>
          <w:tcPr>
            <w:tcW w:w="1107"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1.14%</w:t>
            </w:r>
          </w:p>
        </w:tc>
        <w:tc>
          <w:tcPr>
            <w:tcW w:w="1719"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24,386,112.00</w:t>
            </w:r>
          </w:p>
        </w:tc>
        <w:tc>
          <w:tcPr>
            <w:tcW w:w="975"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1.11%</w:t>
            </w:r>
          </w:p>
        </w:tc>
        <w:tc>
          <w:tcPr>
            <w:tcW w:w="0" w:type="auto"/>
            <w:noWrap/>
            <w:vAlign w:val="center"/>
          </w:tcPr>
          <w:p w:rsidR="0006208B" w:rsidRDefault="0006208B" w:rsidP="00F35B89">
            <w:pPr>
              <w:spacing w:beforeLines="50" w:afterLines="50" w:line="360" w:lineRule="auto"/>
              <w:jc w:val="center"/>
              <w:rPr>
                <w:kern w:val="0"/>
                <w:sz w:val="22"/>
                <w:szCs w:val="24"/>
              </w:rPr>
            </w:pPr>
            <w:r>
              <w:rPr>
                <w:kern w:val="0"/>
                <w:sz w:val="22"/>
                <w:szCs w:val="24"/>
              </w:rPr>
              <w:t>6</w:t>
            </w:r>
            <w:r>
              <w:rPr>
                <w:kern w:val="0"/>
                <w:sz w:val="22"/>
                <w:szCs w:val="24"/>
              </w:rPr>
              <w:t>个月</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5</w:t>
            </w:r>
          </w:p>
        </w:tc>
        <w:tc>
          <w:tcPr>
            <w:tcW w:w="1802" w:type="dxa"/>
            <w:noWrap/>
            <w:vAlign w:val="center"/>
          </w:tcPr>
          <w:p w:rsidR="0006208B" w:rsidRDefault="0006208B" w:rsidP="0006208B">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工银瑞信总回报灵活配置混合型证券投资基金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169,348</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1</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999.88</w:t>
            </w:r>
          </w:p>
        </w:tc>
        <w:tc>
          <w:tcPr>
            <w:tcW w:w="1107"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0.50%</w:t>
            </w:r>
          </w:p>
        </w:tc>
        <w:tc>
          <w:tcPr>
            <w:tcW w:w="1719"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1,950,888.96</w:t>
            </w:r>
          </w:p>
        </w:tc>
        <w:tc>
          <w:tcPr>
            <w:tcW w:w="975"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0.49%</w:t>
            </w:r>
          </w:p>
        </w:tc>
        <w:tc>
          <w:tcPr>
            <w:tcW w:w="0" w:type="auto"/>
            <w:noWrap/>
            <w:vAlign w:val="center"/>
          </w:tcPr>
          <w:p w:rsidR="0006208B" w:rsidRDefault="0006208B" w:rsidP="00F35B89">
            <w:pPr>
              <w:spacing w:beforeLines="50" w:afterLines="50" w:line="360" w:lineRule="auto"/>
              <w:jc w:val="center"/>
              <w:rPr>
                <w:kern w:val="0"/>
                <w:sz w:val="22"/>
                <w:szCs w:val="24"/>
              </w:rPr>
            </w:pPr>
            <w:r>
              <w:rPr>
                <w:kern w:val="0"/>
                <w:sz w:val="22"/>
                <w:szCs w:val="24"/>
              </w:rPr>
              <w:t>6</w:t>
            </w:r>
            <w:r>
              <w:rPr>
                <w:kern w:val="0"/>
                <w:sz w:val="22"/>
                <w:szCs w:val="24"/>
              </w:rPr>
              <w:t>个月</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6</w:t>
            </w:r>
          </w:p>
        </w:tc>
        <w:tc>
          <w:tcPr>
            <w:tcW w:w="1802" w:type="dxa"/>
            <w:noWrap/>
            <w:vAlign w:val="center"/>
          </w:tcPr>
          <w:p w:rsidR="0006208B" w:rsidRDefault="0006208B" w:rsidP="0006208B">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工银瑞信生态环境行业股票型证券投资基金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4,233,700</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49</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997.00</w:t>
            </w:r>
          </w:p>
        </w:tc>
        <w:tc>
          <w:tcPr>
            <w:tcW w:w="1107"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2.03%</w:t>
            </w:r>
          </w:p>
        </w:tc>
        <w:tc>
          <w:tcPr>
            <w:tcW w:w="1719"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48,772,224.00</w:t>
            </w:r>
          </w:p>
        </w:tc>
        <w:tc>
          <w:tcPr>
            <w:tcW w:w="975"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1.98%</w:t>
            </w:r>
          </w:p>
        </w:tc>
        <w:tc>
          <w:tcPr>
            <w:tcW w:w="0" w:type="auto"/>
            <w:noWrap/>
            <w:vAlign w:val="center"/>
          </w:tcPr>
          <w:p w:rsidR="0006208B" w:rsidRDefault="0006208B" w:rsidP="00F35B89">
            <w:pPr>
              <w:spacing w:beforeLines="50" w:afterLines="50" w:line="360" w:lineRule="auto"/>
              <w:jc w:val="center"/>
              <w:rPr>
                <w:kern w:val="0"/>
                <w:sz w:val="22"/>
                <w:szCs w:val="24"/>
              </w:rPr>
            </w:pPr>
            <w:r>
              <w:rPr>
                <w:kern w:val="0"/>
                <w:sz w:val="22"/>
                <w:szCs w:val="24"/>
              </w:rPr>
              <w:t>6</w:t>
            </w:r>
            <w:r>
              <w:rPr>
                <w:kern w:val="0"/>
                <w:sz w:val="22"/>
                <w:szCs w:val="24"/>
              </w:rPr>
              <w:t>个月</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7</w:t>
            </w:r>
          </w:p>
        </w:tc>
        <w:tc>
          <w:tcPr>
            <w:tcW w:w="1802" w:type="dxa"/>
            <w:noWrap/>
            <w:vAlign w:val="center"/>
          </w:tcPr>
          <w:p w:rsidR="0006208B" w:rsidRDefault="0006208B" w:rsidP="0006208B">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工银瑞信国家战略主题股票型证券投资基金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846,740</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9</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999.40</w:t>
            </w:r>
          </w:p>
        </w:tc>
        <w:tc>
          <w:tcPr>
            <w:tcW w:w="1107"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1.56%</w:t>
            </w:r>
          </w:p>
        </w:tc>
        <w:tc>
          <w:tcPr>
            <w:tcW w:w="1719"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9,754,444.80</w:t>
            </w:r>
          </w:p>
        </w:tc>
        <w:tc>
          <w:tcPr>
            <w:tcW w:w="975"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1.52%</w:t>
            </w:r>
          </w:p>
        </w:tc>
        <w:tc>
          <w:tcPr>
            <w:tcW w:w="0" w:type="auto"/>
            <w:noWrap/>
            <w:vAlign w:val="center"/>
          </w:tcPr>
          <w:p w:rsidR="0006208B" w:rsidRDefault="0006208B" w:rsidP="00F35B89">
            <w:pPr>
              <w:spacing w:beforeLines="50" w:afterLines="50" w:line="360" w:lineRule="auto"/>
              <w:jc w:val="center"/>
              <w:rPr>
                <w:kern w:val="0"/>
                <w:sz w:val="22"/>
                <w:szCs w:val="24"/>
              </w:rPr>
            </w:pPr>
            <w:r>
              <w:rPr>
                <w:kern w:val="0"/>
                <w:sz w:val="22"/>
                <w:szCs w:val="24"/>
              </w:rPr>
              <w:t>6</w:t>
            </w:r>
            <w:r>
              <w:rPr>
                <w:kern w:val="0"/>
                <w:sz w:val="22"/>
                <w:szCs w:val="24"/>
              </w:rPr>
              <w:t>个月</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8</w:t>
            </w:r>
          </w:p>
        </w:tc>
        <w:tc>
          <w:tcPr>
            <w:tcW w:w="1802" w:type="dxa"/>
            <w:noWrap/>
            <w:vAlign w:val="center"/>
          </w:tcPr>
          <w:p w:rsidR="0006208B" w:rsidRDefault="0006208B" w:rsidP="0006208B">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工银瑞信精选金融地产行业混合型证券投资基金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254,022</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2</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999.82</w:t>
            </w:r>
          </w:p>
        </w:tc>
        <w:tc>
          <w:tcPr>
            <w:tcW w:w="1107"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0.50%</w:t>
            </w:r>
          </w:p>
        </w:tc>
        <w:tc>
          <w:tcPr>
            <w:tcW w:w="1719"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2,926,333.44</w:t>
            </w:r>
          </w:p>
        </w:tc>
        <w:tc>
          <w:tcPr>
            <w:tcW w:w="975"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0.48%</w:t>
            </w:r>
          </w:p>
        </w:tc>
        <w:tc>
          <w:tcPr>
            <w:tcW w:w="0" w:type="auto"/>
            <w:noWrap/>
            <w:vAlign w:val="center"/>
          </w:tcPr>
          <w:p w:rsidR="0006208B" w:rsidRDefault="0006208B" w:rsidP="00F35B89">
            <w:pPr>
              <w:spacing w:beforeLines="50" w:afterLines="50" w:line="360" w:lineRule="auto"/>
              <w:jc w:val="center"/>
              <w:rPr>
                <w:kern w:val="0"/>
                <w:sz w:val="22"/>
                <w:szCs w:val="24"/>
              </w:rPr>
            </w:pPr>
            <w:r>
              <w:rPr>
                <w:kern w:val="0"/>
                <w:sz w:val="22"/>
                <w:szCs w:val="24"/>
              </w:rPr>
              <w:t>6</w:t>
            </w:r>
            <w:r>
              <w:rPr>
                <w:kern w:val="0"/>
                <w:sz w:val="22"/>
                <w:szCs w:val="24"/>
              </w:rPr>
              <w:t>个月</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lastRenderedPageBreak/>
              <w:t>9</w:t>
            </w:r>
          </w:p>
        </w:tc>
        <w:tc>
          <w:tcPr>
            <w:tcW w:w="1802" w:type="dxa"/>
            <w:noWrap/>
            <w:vAlign w:val="center"/>
          </w:tcPr>
          <w:p w:rsidR="0006208B" w:rsidRDefault="0006208B" w:rsidP="0006208B">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工银瑞信圆丰三年持有期混合型证券投资基金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11,007,620</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129</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992.20</w:t>
            </w:r>
          </w:p>
        </w:tc>
        <w:tc>
          <w:tcPr>
            <w:tcW w:w="1107"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1.96%</w:t>
            </w:r>
          </w:p>
        </w:tc>
        <w:tc>
          <w:tcPr>
            <w:tcW w:w="1719"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126,807,782.40</w:t>
            </w:r>
          </w:p>
        </w:tc>
        <w:tc>
          <w:tcPr>
            <w:tcW w:w="975"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1.91%</w:t>
            </w:r>
          </w:p>
        </w:tc>
        <w:tc>
          <w:tcPr>
            <w:tcW w:w="0" w:type="auto"/>
            <w:noWrap/>
            <w:vAlign w:val="center"/>
          </w:tcPr>
          <w:p w:rsidR="0006208B" w:rsidRDefault="0006208B" w:rsidP="00F35B89">
            <w:pPr>
              <w:spacing w:beforeLines="50" w:afterLines="50" w:line="360" w:lineRule="auto"/>
              <w:jc w:val="center"/>
              <w:rPr>
                <w:kern w:val="0"/>
                <w:sz w:val="22"/>
                <w:szCs w:val="24"/>
              </w:rPr>
            </w:pPr>
            <w:r>
              <w:rPr>
                <w:kern w:val="0"/>
                <w:sz w:val="22"/>
                <w:szCs w:val="24"/>
              </w:rPr>
              <w:t>6</w:t>
            </w:r>
            <w:r>
              <w:rPr>
                <w:kern w:val="0"/>
                <w:sz w:val="22"/>
                <w:szCs w:val="24"/>
              </w:rPr>
              <w:t>个月</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10</w:t>
            </w:r>
          </w:p>
        </w:tc>
        <w:tc>
          <w:tcPr>
            <w:tcW w:w="1802" w:type="dxa"/>
            <w:noWrap/>
            <w:vAlign w:val="center"/>
          </w:tcPr>
          <w:p w:rsidR="0006208B" w:rsidRDefault="0006208B" w:rsidP="0006208B">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工银瑞信成长精选混合型证券投资基金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2,032,176</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23</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998.56</w:t>
            </w:r>
          </w:p>
        </w:tc>
        <w:tc>
          <w:tcPr>
            <w:tcW w:w="1107"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1.93%</w:t>
            </w:r>
          </w:p>
        </w:tc>
        <w:tc>
          <w:tcPr>
            <w:tcW w:w="1719"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23,410,667.52</w:t>
            </w:r>
          </w:p>
        </w:tc>
        <w:tc>
          <w:tcPr>
            <w:tcW w:w="975"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1.89%</w:t>
            </w:r>
          </w:p>
        </w:tc>
        <w:tc>
          <w:tcPr>
            <w:tcW w:w="0" w:type="auto"/>
            <w:noWrap/>
            <w:vAlign w:val="center"/>
          </w:tcPr>
          <w:p w:rsidR="0006208B" w:rsidRDefault="0006208B" w:rsidP="00F35B89">
            <w:pPr>
              <w:spacing w:beforeLines="50" w:afterLines="50" w:line="360" w:lineRule="auto"/>
              <w:jc w:val="center"/>
              <w:rPr>
                <w:kern w:val="0"/>
                <w:sz w:val="22"/>
                <w:szCs w:val="24"/>
              </w:rPr>
            </w:pPr>
            <w:r>
              <w:rPr>
                <w:kern w:val="0"/>
                <w:sz w:val="22"/>
                <w:szCs w:val="24"/>
              </w:rPr>
              <w:t>6</w:t>
            </w:r>
            <w:r>
              <w:rPr>
                <w:kern w:val="0"/>
                <w:sz w:val="22"/>
                <w:szCs w:val="24"/>
              </w:rPr>
              <w:t>个月</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11</w:t>
            </w:r>
          </w:p>
        </w:tc>
        <w:tc>
          <w:tcPr>
            <w:tcW w:w="1802" w:type="dxa"/>
            <w:noWrap/>
            <w:vAlign w:val="center"/>
          </w:tcPr>
          <w:p w:rsidR="0006208B" w:rsidRDefault="0006208B" w:rsidP="0006208B">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工银瑞信战略远见混合型证券投资基金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6,350,550</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74</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995.50</w:t>
            </w:r>
          </w:p>
        </w:tc>
        <w:tc>
          <w:tcPr>
            <w:tcW w:w="1107"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1.92%</w:t>
            </w:r>
          </w:p>
        </w:tc>
        <w:tc>
          <w:tcPr>
            <w:tcW w:w="1719"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73,158,336.00</w:t>
            </w:r>
          </w:p>
        </w:tc>
        <w:tc>
          <w:tcPr>
            <w:tcW w:w="975"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1.87%</w:t>
            </w:r>
          </w:p>
        </w:tc>
        <w:tc>
          <w:tcPr>
            <w:tcW w:w="0" w:type="auto"/>
            <w:noWrap/>
            <w:vAlign w:val="center"/>
          </w:tcPr>
          <w:p w:rsidR="0006208B" w:rsidRDefault="0006208B" w:rsidP="00F35B89">
            <w:pPr>
              <w:spacing w:beforeLines="50" w:afterLines="50" w:line="360" w:lineRule="auto"/>
              <w:jc w:val="center"/>
              <w:rPr>
                <w:kern w:val="0"/>
                <w:sz w:val="22"/>
                <w:szCs w:val="24"/>
              </w:rPr>
            </w:pPr>
            <w:r>
              <w:rPr>
                <w:kern w:val="0"/>
                <w:sz w:val="22"/>
                <w:szCs w:val="24"/>
              </w:rPr>
              <w:t>6</w:t>
            </w:r>
            <w:r>
              <w:rPr>
                <w:kern w:val="0"/>
                <w:sz w:val="22"/>
                <w:szCs w:val="24"/>
              </w:rPr>
              <w:t>个月</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12</w:t>
            </w:r>
          </w:p>
        </w:tc>
        <w:tc>
          <w:tcPr>
            <w:tcW w:w="1802" w:type="dxa"/>
            <w:noWrap/>
            <w:vAlign w:val="center"/>
          </w:tcPr>
          <w:p w:rsidR="0006208B" w:rsidRDefault="0006208B" w:rsidP="0006208B">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工银瑞信核心优势混合型证券投资基金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846,740</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9</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999.40</w:t>
            </w:r>
          </w:p>
        </w:tc>
        <w:tc>
          <w:tcPr>
            <w:tcW w:w="1107"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0.82%</w:t>
            </w:r>
          </w:p>
        </w:tc>
        <w:tc>
          <w:tcPr>
            <w:tcW w:w="1719"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9,754,444.80</w:t>
            </w:r>
          </w:p>
        </w:tc>
        <w:tc>
          <w:tcPr>
            <w:tcW w:w="975"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0.80%</w:t>
            </w:r>
          </w:p>
        </w:tc>
        <w:tc>
          <w:tcPr>
            <w:tcW w:w="0" w:type="auto"/>
            <w:noWrap/>
            <w:vAlign w:val="center"/>
          </w:tcPr>
          <w:p w:rsidR="0006208B" w:rsidRDefault="0006208B" w:rsidP="00F35B89">
            <w:pPr>
              <w:spacing w:beforeLines="50" w:afterLines="50" w:line="360" w:lineRule="auto"/>
              <w:jc w:val="center"/>
              <w:rPr>
                <w:kern w:val="0"/>
                <w:sz w:val="22"/>
                <w:szCs w:val="24"/>
              </w:rPr>
            </w:pPr>
            <w:r>
              <w:rPr>
                <w:kern w:val="0"/>
                <w:sz w:val="22"/>
                <w:szCs w:val="24"/>
              </w:rPr>
              <w:t>6</w:t>
            </w:r>
            <w:r>
              <w:rPr>
                <w:kern w:val="0"/>
                <w:sz w:val="22"/>
                <w:szCs w:val="24"/>
              </w:rPr>
              <w:t>个月</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13</w:t>
            </w:r>
          </w:p>
        </w:tc>
        <w:tc>
          <w:tcPr>
            <w:tcW w:w="1802" w:type="dxa"/>
            <w:noWrap/>
            <w:vAlign w:val="center"/>
          </w:tcPr>
          <w:p w:rsidR="0006208B" w:rsidRDefault="0006208B" w:rsidP="0006208B">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工银瑞信核心机遇混合型证券投资基金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846,740</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9</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999.40</w:t>
            </w:r>
          </w:p>
        </w:tc>
        <w:tc>
          <w:tcPr>
            <w:tcW w:w="1107"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1.71%</w:t>
            </w:r>
          </w:p>
        </w:tc>
        <w:tc>
          <w:tcPr>
            <w:tcW w:w="1719"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9,754,444.80</w:t>
            </w:r>
          </w:p>
        </w:tc>
        <w:tc>
          <w:tcPr>
            <w:tcW w:w="975"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1.67%</w:t>
            </w:r>
          </w:p>
        </w:tc>
        <w:tc>
          <w:tcPr>
            <w:tcW w:w="0" w:type="auto"/>
            <w:noWrap/>
            <w:vAlign w:val="center"/>
          </w:tcPr>
          <w:p w:rsidR="0006208B" w:rsidRDefault="0006208B" w:rsidP="00F35B89">
            <w:pPr>
              <w:spacing w:beforeLines="50" w:afterLines="50" w:line="360" w:lineRule="auto"/>
              <w:jc w:val="center"/>
              <w:rPr>
                <w:kern w:val="0"/>
                <w:sz w:val="22"/>
                <w:szCs w:val="24"/>
              </w:rPr>
            </w:pPr>
            <w:r>
              <w:rPr>
                <w:kern w:val="0"/>
                <w:sz w:val="22"/>
                <w:szCs w:val="24"/>
              </w:rPr>
              <w:t>6</w:t>
            </w:r>
            <w:r>
              <w:rPr>
                <w:kern w:val="0"/>
                <w:sz w:val="22"/>
                <w:szCs w:val="24"/>
              </w:rPr>
              <w:t>个月</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14</w:t>
            </w:r>
          </w:p>
        </w:tc>
        <w:tc>
          <w:tcPr>
            <w:tcW w:w="1802" w:type="dxa"/>
            <w:noWrap/>
            <w:vAlign w:val="center"/>
          </w:tcPr>
          <w:p w:rsidR="0006208B" w:rsidRDefault="0006208B" w:rsidP="0006208B">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工银瑞信领航三年持有期混合型证券投资基金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2,624,894</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30</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998.14</w:t>
            </w:r>
          </w:p>
        </w:tc>
        <w:tc>
          <w:tcPr>
            <w:tcW w:w="1107"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1.75%</w:t>
            </w:r>
          </w:p>
        </w:tc>
        <w:tc>
          <w:tcPr>
            <w:tcW w:w="1719"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30,238,778.88</w:t>
            </w:r>
          </w:p>
        </w:tc>
        <w:tc>
          <w:tcPr>
            <w:tcW w:w="975"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1.70%</w:t>
            </w:r>
          </w:p>
        </w:tc>
        <w:tc>
          <w:tcPr>
            <w:tcW w:w="0" w:type="auto"/>
            <w:noWrap/>
            <w:vAlign w:val="center"/>
          </w:tcPr>
          <w:p w:rsidR="0006208B" w:rsidRDefault="0006208B" w:rsidP="00F35B89">
            <w:pPr>
              <w:spacing w:beforeLines="50" w:afterLines="50" w:line="360" w:lineRule="auto"/>
              <w:jc w:val="center"/>
              <w:rPr>
                <w:kern w:val="0"/>
                <w:sz w:val="22"/>
                <w:szCs w:val="24"/>
              </w:rPr>
            </w:pPr>
            <w:r>
              <w:rPr>
                <w:kern w:val="0"/>
                <w:sz w:val="22"/>
                <w:szCs w:val="24"/>
              </w:rPr>
              <w:t>6</w:t>
            </w:r>
            <w:r>
              <w:rPr>
                <w:kern w:val="0"/>
                <w:sz w:val="22"/>
                <w:szCs w:val="24"/>
              </w:rPr>
              <w:t>个月</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15</w:t>
            </w:r>
          </w:p>
        </w:tc>
        <w:tc>
          <w:tcPr>
            <w:tcW w:w="1802" w:type="dxa"/>
            <w:noWrap/>
            <w:vAlign w:val="center"/>
          </w:tcPr>
          <w:p w:rsidR="0006208B" w:rsidRDefault="0006208B" w:rsidP="0006208B">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工银瑞信核心价值混合型证券投资基金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6,773,920</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79</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995.20</w:t>
            </w:r>
          </w:p>
        </w:tc>
        <w:tc>
          <w:tcPr>
            <w:tcW w:w="1107"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1.97%</w:t>
            </w:r>
          </w:p>
        </w:tc>
        <w:tc>
          <w:tcPr>
            <w:tcW w:w="1719"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78,035,558.40</w:t>
            </w:r>
          </w:p>
        </w:tc>
        <w:tc>
          <w:tcPr>
            <w:tcW w:w="975"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1.92%</w:t>
            </w:r>
          </w:p>
        </w:tc>
        <w:tc>
          <w:tcPr>
            <w:tcW w:w="0" w:type="auto"/>
            <w:noWrap/>
            <w:vAlign w:val="center"/>
          </w:tcPr>
          <w:p w:rsidR="0006208B" w:rsidRDefault="0006208B" w:rsidP="00F35B89">
            <w:pPr>
              <w:spacing w:beforeLines="50" w:afterLines="50" w:line="360" w:lineRule="auto"/>
              <w:jc w:val="center"/>
              <w:rPr>
                <w:kern w:val="0"/>
                <w:sz w:val="22"/>
                <w:szCs w:val="24"/>
              </w:rPr>
            </w:pPr>
            <w:r>
              <w:rPr>
                <w:kern w:val="0"/>
                <w:sz w:val="22"/>
                <w:szCs w:val="24"/>
              </w:rPr>
              <w:t>6</w:t>
            </w:r>
            <w:r>
              <w:rPr>
                <w:kern w:val="0"/>
                <w:sz w:val="22"/>
                <w:szCs w:val="24"/>
              </w:rPr>
              <w:t>个月</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16</w:t>
            </w:r>
          </w:p>
        </w:tc>
        <w:tc>
          <w:tcPr>
            <w:tcW w:w="1802" w:type="dxa"/>
            <w:noWrap/>
            <w:vAlign w:val="center"/>
          </w:tcPr>
          <w:p w:rsidR="0006208B" w:rsidRDefault="0006208B" w:rsidP="0006208B">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工银瑞信大盘蓝筹混合型证券投资基金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423,370</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4</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999.70</w:t>
            </w:r>
          </w:p>
        </w:tc>
        <w:tc>
          <w:tcPr>
            <w:tcW w:w="1107"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1.87%</w:t>
            </w:r>
          </w:p>
        </w:tc>
        <w:tc>
          <w:tcPr>
            <w:tcW w:w="1719"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4,877,222.40</w:t>
            </w:r>
          </w:p>
        </w:tc>
        <w:tc>
          <w:tcPr>
            <w:tcW w:w="975"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1.82%</w:t>
            </w:r>
          </w:p>
        </w:tc>
        <w:tc>
          <w:tcPr>
            <w:tcW w:w="0" w:type="auto"/>
            <w:noWrap/>
            <w:vAlign w:val="center"/>
          </w:tcPr>
          <w:p w:rsidR="0006208B" w:rsidRDefault="0006208B" w:rsidP="00F35B89">
            <w:pPr>
              <w:spacing w:beforeLines="50" w:afterLines="50" w:line="360" w:lineRule="auto"/>
              <w:jc w:val="center"/>
              <w:rPr>
                <w:kern w:val="0"/>
                <w:sz w:val="22"/>
                <w:szCs w:val="24"/>
              </w:rPr>
            </w:pPr>
            <w:r>
              <w:rPr>
                <w:kern w:val="0"/>
                <w:sz w:val="22"/>
                <w:szCs w:val="24"/>
              </w:rPr>
              <w:t>6</w:t>
            </w:r>
            <w:r>
              <w:rPr>
                <w:kern w:val="0"/>
                <w:sz w:val="22"/>
                <w:szCs w:val="24"/>
              </w:rPr>
              <w:t>个月</w:t>
            </w:r>
          </w:p>
        </w:tc>
      </w:tr>
      <w:tr w:rsidR="0006208B" w:rsidTr="0006208B">
        <w:tc>
          <w:tcPr>
            <w:tcW w:w="0" w:type="auto"/>
            <w:noWrap/>
            <w:vAlign w:val="center"/>
          </w:tcPr>
          <w:p w:rsidR="0006208B" w:rsidRDefault="0006208B" w:rsidP="00F35B89">
            <w:pPr>
              <w:tabs>
                <w:tab w:val="left" w:pos="630"/>
                <w:tab w:val="left" w:pos="735"/>
              </w:tabs>
              <w:spacing w:beforeLines="50" w:afterLines="50" w:line="360" w:lineRule="auto"/>
              <w:jc w:val="left"/>
              <w:rPr>
                <w:rFonts w:ascii="宋体" w:hAnsi="宋体" w:cs="宋体"/>
                <w:kern w:val="0"/>
                <w:sz w:val="22"/>
                <w:szCs w:val="24"/>
              </w:rPr>
            </w:pPr>
            <w:r>
              <w:rPr>
                <w:rFonts w:ascii="宋体" w:hAnsi="宋体" w:cs="宋体" w:hint="eastAsia"/>
                <w:kern w:val="0"/>
                <w:sz w:val="22"/>
                <w:szCs w:val="24"/>
              </w:rPr>
              <w:t>17</w:t>
            </w:r>
          </w:p>
        </w:tc>
        <w:tc>
          <w:tcPr>
            <w:tcW w:w="1802" w:type="dxa"/>
            <w:noWrap/>
            <w:vAlign w:val="center"/>
          </w:tcPr>
          <w:p w:rsidR="0006208B" w:rsidRDefault="0006208B" w:rsidP="0006208B">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工银瑞信增强收益债券型证券投资基金</w:t>
            </w:r>
          </w:p>
        </w:tc>
        <w:tc>
          <w:tcPr>
            <w:tcW w:w="1305"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1,270,110</w:t>
            </w:r>
          </w:p>
        </w:tc>
        <w:tc>
          <w:tcPr>
            <w:tcW w:w="1754" w:type="dxa"/>
            <w:noWrap/>
            <w:vAlign w:val="center"/>
          </w:tcPr>
          <w:p w:rsidR="0006208B" w:rsidRPr="00305458" w:rsidRDefault="0006208B" w:rsidP="00305458">
            <w:pPr>
              <w:jc w:val="center"/>
              <w:rPr>
                <w:rFonts w:eastAsia="等线"/>
                <w:color w:val="000000"/>
                <w:sz w:val="22"/>
                <w:szCs w:val="22"/>
              </w:rPr>
            </w:pPr>
            <w:r w:rsidRPr="00305458">
              <w:rPr>
                <w:rFonts w:eastAsia="等线"/>
                <w:color w:val="000000"/>
                <w:sz w:val="22"/>
                <w:szCs w:val="22"/>
              </w:rPr>
              <w:t>14</w:t>
            </w:r>
            <w:r w:rsidR="00305458">
              <w:rPr>
                <w:rFonts w:eastAsia="等线"/>
                <w:color w:val="000000"/>
                <w:sz w:val="22"/>
                <w:szCs w:val="22"/>
              </w:rPr>
              <w:t>,</w:t>
            </w:r>
            <w:r w:rsidRPr="00305458">
              <w:rPr>
                <w:rFonts w:eastAsia="等线"/>
                <w:color w:val="000000"/>
                <w:sz w:val="22"/>
                <w:szCs w:val="22"/>
              </w:rPr>
              <w:t>999</w:t>
            </w:r>
            <w:r w:rsidR="00305458">
              <w:rPr>
                <w:rFonts w:eastAsia="等线"/>
                <w:color w:val="000000"/>
                <w:sz w:val="22"/>
                <w:szCs w:val="22"/>
              </w:rPr>
              <w:t>,</w:t>
            </w:r>
            <w:r w:rsidRPr="00305458">
              <w:rPr>
                <w:rFonts w:eastAsia="等线"/>
                <w:color w:val="000000"/>
                <w:sz w:val="22"/>
                <w:szCs w:val="22"/>
              </w:rPr>
              <w:t>99</w:t>
            </w:r>
            <w:bookmarkStart w:id="0" w:name="_GoBack"/>
            <w:bookmarkEnd w:id="0"/>
            <w:r w:rsidRPr="00305458">
              <w:rPr>
                <w:rFonts w:eastAsia="等线"/>
                <w:color w:val="000000"/>
                <w:sz w:val="22"/>
                <w:szCs w:val="22"/>
              </w:rPr>
              <w:t>9.10</w:t>
            </w:r>
          </w:p>
        </w:tc>
        <w:tc>
          <w:tcPr>
            <w:tcW w:w="1107"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1.80%</w:t>
            </w:r>
          </w:p>
        </w:tc>
        <w:tc>
          <w:tcPr>
            <w:tcW w:w="1719"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14,631,667.20</w:t>
            </w:r>
          </w:p>
        </w:tc>
        <w:tc>
          <w:tcPr>
            <w:tcW w:w="975" w:type="dxa"/>
            <w:noWrap/>
            <w:vAlign w:val="center"/>
          </w:tcPr>
          <w:p w:rsidR="0006208B" w:rsidRDefault="0006208B" w:rsidP="00305458">
            <w:pPr>
              <w:jc w:val="center"/>
              <w:rPr>
                <w:rFonts w:eastAsia="等线"/>
                <w:color w:val="000000"/>
                <w:sz w:val="22"/>
                <w:szCs w:val="22"/>
              </w:rPr>
            </w:pPr>
            <w:r>
              <w:rPr>
                <w:rFonts w:eastAsia="等线"/>
                <w:color w:val="000000"/>
                <w:sz w:val="22"/>
                <w:szCs w:val="22"/>
              </w:rPr>
              <w:t>1.75%</w:t>
            </w:r>
          </w:p>
        </w:tc>
        <w:tc>
          <w:tcPr>
            <w:tcW w:w="0" w:type="auto"/>
            <w:noWrap/>
            <w:vAlign w:val="center"/>
          </w:tcPr>
          <w:p w:rsidR="0006208B" w:rsidRDefault="0006208B" w:rsidP="00F35B89">
            <w:pPr>
              <w:spacing w:beforeLines="50" w:afterLines="50" w:line="360" w:lineRule="auto"/>
              <w:jc w:val="center"/>
              <w:rPr>
                <w:kern w:val="0"/>
                <w:sz w:val="22"/>
                <w:szCs w:val="24"/>
              </w:rPr>
            </w:pPr>
            <w:r>
              <w:rPr>
                <w:kern w:val="0"/>
                <w:sz w:val="22"/>
                <w:szCs w:val="24"/>
              </w:rPr>
              <w:t>6</w:t>
            </w:r>
            <w:r>
              <w:rPr>
                <w:kern w:val="0"/>
                <w:sz w:val="22"/>
                <w:szCs w:val="24"/>
              </w:rPr>
              <w:t>个月</w:t>
            </w:r>
          </w:p>
        </w:tc>
      </w:tr>
    </w:tbl>
    <w:p w:rsidR="00FD1CC8" w:rsidRDefault="005C098B">
      <w:pPr>
        <w:widowControl/>
        <w:spacing w:line="360" w:lineRule="auto"/>
        <w:ind w:firstLineChars="200" w:firstLine="480"/>
        <w:jc w:val="left"/>
        <w:rPr>
          <w:color w:val="000000"/>
          <w:kern w:val="0"/>
          <w:sz w:val="24"/>
          <w:szCs w:val="24"/>
        </w:rPr>
      </w:pPr>
      <w:r>
        <w:rPr>
          <w:rFonts w:ascii="宋体" w:hint="eastAsia"/>
          <w:color w:val="000000"/>
          <w:kern w:val="0"/>
          <w:sz w:val="24"/>
          <w:szCs w:val="24"/>
        </w:rPr>
        <w:t>注：基金资产净值、账面价值</w:t>
      </w:r>
      <w:r>
        <w:rPr>
          <w:color w:val="000000"/>
          <w:kern w:val="0"/>
          <w:sz w:val="24"/>
          <w:szCs w:val="24"/>
        </w:rPr>
        <w:t>为</w:t>
      </w:r>
      <w:r>
        <w:rPr>
          <w:color w:val="000000"/>
          <w:kern w:val="0"/>
          <w:sz w:val="24"/>
          <w:szCs w:val="24"/>
        </w:rPr>
        <w:t>2023</w:t>
      </w:r>
      <w:r>
        <w:rPr>
          <w:color w:val="000000"/>
          <w:kern w:val="0"/>
          <w:sz w:val="24"/>
          <w:szCs w:val="24"/>
        </w:rPr>
        <w:t>年</w:t>
      </w:r>
      <w:r>
        <w:rPr>
          <w:rFonts w:hint="eastAsia"/>
          <w:color w:val="000000"/>
          <w:kern w:val="0"/>
          <w:sz w:val="24"/>
          <w:szCs w:val="24"/>
        </w:rPr>
        <w:t>10</w:t>
      </w:r>
      <w:r>
        <w:rPr>
          <w:color w:val="000000"/>
          <w:kern w:val="0"/>
          <w:sz w:val="24"/>
          <w:szCs w:val="24"/>
        </w:rPr>
        <w:t>月</w:t>
      </w:r>
      <w:r>
        <w:rPr>
          <w:rFonts w:hint="eastAsia"/>
          <w:color w:val="000000"/>
          <w:kern w:val="0"/>
          <w:sz w:val="24"/>
          <w:szCs w:val="24"/>
        </w:rPr>
        <w:t>9</w:t>
      </w:r>
      <w:r>
        <w:rPr>
          <w:color w:val="000000"/>
          <w:kern w:val="0"/>
          <w:sz w:val="24"/>
          <w:szCs w:val="24"/>
        </w:rPr>
        <w:t>日数据。</w:t>
      </w:r>
    </w:p>
    <w:p w:rsidR="00FD1CC8" w:rsidRDefault="005C098B">
      <w:pPr>
        <w:widowControl/>
        <w:spacing w:line="360" w:lineRule="auto"/>
        <w:ind w:firstLineChars="200" w:firstLine="480"/>
        <w:jc w:val="left"/>
        <w:rPr>
          <w:kern w:val="0"/>
          <w:sz w:val="24"/>
          <w:szCs w:val="24"/>
        </w:rPr>
      </w:pPr>
      <w:r>
        <w:rPr>
          <w:kern w:val="0"/>
          <w:sz w:val="24"/>
          <w:szCs w:val="24"/>
        </w:rPr>
        <w:t>特此公告。</w:t>
      </w:r>
      <w:r>
        <w:rPr>
          <w:kern w:val="0"/>
          <w:sz w:val="24"/>
          <w:szCs w:val="24"/>
        </w:rPr>
        <w:t xml:space="preserve"> </w:t>
      </w:r>
    </w:p>
    <w:p w:rsidR="00FD1CC8" w:rsidRDefault="00FD1CC8">
      <w:pPr>
        <w:widowControl/>
        <w:spacing w:line="360" w:lineRule="auto"/>
        <w:ind w:firstLineChars="200" w:firstLine="480"/>
        <w:jc w:val="left"/>
        <w:rPr>
          <w:kern w:val="0"/>
          <w:sz w:val="24"/>
          <w:szCs w:val="24"/>
        </w:rPr>
      </w:pPr>
    </w:p>
    <w:p w:rsidR="00FD1CC8" w:rsidRDefault="005C098B">
      <w:pPr>
        <w:widowControl/>
        <w:spacing w:line="360" w:lineRule="auto"/>
        <w:jc w:val="right"/>
        <w:rPr>
          <w:kern w:val="0"/>
          <w:sz w:val="24"/>
          <w:szCs w:val="24"/>
        </w:rPr>
      </w:pPr>
      <w:r>
        <w:rPr>
          <w:kern w:val="0"/>
          <w:sz w:val="24"/>
          <w:szCs w:val="24"/>
        </w:rPr>
        <w:t>工银瑞信基金管理有限公司</w:t>
      </w:r>
      <w:r>
        <w:rPr>
          <w:kern w:val="0"/>
          <w:sz w:val="24"/>
          <w:szCs w:val="24"/>
        </w:rPr>
        <w:t xml:space="preserve"> </w:t>
      </w:r>
    </w:p>
    <w:p w:rsidR="00FD1CC8" w:rsidRDefault="005C098B">
      <w:pPr>
        <w:widowControl/>
        <w:spacing w:line="360" w:lineRule="auto"/>
        <w:jc w:val="right"/>
        <w:rPr>
          <w:rFonts w:ascii="宋体" w:hAnsi="宋体" w:cs="宋体"/>
          <w:kern w:val="0"/>
          <w:sz w:val="24"/>
          <w:szCs w:val="24"/>
        </w:rPr>
      </w:pPr>
      <w:r>
        <w:rPr>
          <w:kern w:val="0"/>
          <w:sz w:val="24"/>
          <w:szCs w:val="24"/>
        </w:rPr>
        <w:t>2023</w:t>
      </w:r>
      <w:r>
        <w:rPr>
          <w:kern w:val="0"/>
          <w:sz w:val="24"/>
          <w:szCs w:val="24"/>
        </w:rPr>
        <w:t>年</w:t>
      </w:r>
      <w:r>
        <w:rPr>
          <w:kern w:val="0"/>
          <w:sz w:val="24"/>
          <w:szCs w:val="24"/>
        </w:rPr>
        <w:t xml:space="preserve"> </w:t>
      </w:r>
      <w:r>
        <w:rPr>
          <w:rFonts w:hint="eastAsia"/>
          <w:kern w:val="0"/>
          <w:sz w:val="24"/>
          <w:szCs w:val="24"/>
        </w:rPr>
        <w:t>10</w:t>
      </w:r>
      <w:r>
        <w:rPr>
          <w:kern w:val="0"/>
          <w:sz w:val="24"/>
          <w:szCs w:val="24"/>
        </w:rPr>
        <w:t>月</w:t>
      </w:r>
      <w:r>
        <w:rPr>
          <w:rFonts w:hint="eastAsia"/>
          <w:kern w:val="0"/>
          <w:sz w:val="24"/>
          <w:szCs w:val="24"/>
        </w:rPr>
        <w:t>11</w:t>
      </w:r>
      <w:r>
        <w:rPr>
          <w:rFonts w:ascii="宋体" w:hAnsi="宋体" w:cs="宋体" w:hint="eastAsia"/>
          <w:kern w:val="0"/>
          <w:sz w:val="24"/>
          <w:szCs w:val="24"/>
        </w:rPr>
        <w:t>日</w:t>
      </w:r>
    </w:p>
    <w:sectPr w:rsidR="00FD1CC8" w:rsidSect="00660038">
      <w:pgSz w:w="11906" w:h="16838"/>
      <w:pgMar w:top="1440" w:right="851"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08B" w:rsidRDefault="0006208B" w:rsidP="0006208B">
      <w:r>
        <w:separator/>
      </w:r>
    </w:p>
  </w:endnote>
  <w:endnote w:type="continuationSeparator" w:id="0">
    <w:p w:rsidR="0006208B" w:rsidRDefault="0006208B" w:rsidP="00062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08B" w:rsidRDefault="0006208B" w:rsidP="0006208B">
      <w:r>
        <w:separator/>
      </w:r>
    </w:p>
  </w:footnote>
  <w:footnote w:type="continuationSeparator" w:id="0">
    <w:p w:rsidR="0006208B" w:rsidRDefault="0006208B" w:rsidP="00062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0638"/>
    <w:rsid w:val="00005863"/>
    <w:rsid w:val="00011853"/>
    <w:rsid w:val="00015C52"/>
    <w:rsid w:val="000323EE"/>
    <w:rsid w:val="00033425"/>
    <w:rsid w:val="00047FF8"/>
    <w:rsid w:val="0006208B"/>
    <w:rsid w:val="000773B1"/>
    <w:rsid w:val="000865D7"/>
    <w:rsid w:val="00090A18"/>
    <w:rsid w:val="00091A9D"/>
    <w:rsid w:val="000A1EA0"/>
    <w:rsid w:val="000B01E1"/>
    <w:rsid w:val="000B48DF"/>
    <w:rsid w:val="000B49B1"/>
    <w:rsid w:val="000E1028"/>
    <w:rsid w:val="000E11FC"/>
    <w:rsid w:val="000E4DCF"/>
    <w:rsid w:val="0011198A"/>
    <w:rsid w:val="0014049A"/>
    <w:rsid w:val="00161794"/>
    <w:rsid w:val="00182B7E"/>
    <w:rsid w:val="00190B83"/>
    <w:rsid w:val="00191D58"/>
    <w:rsid w:val="001A1444"/>
    <w:rsid w:val="001C3AB6"/>
    <w:rsid w:val="001E055D"/>
    <w:rsid w:val="0023036E"/>
    <w:rsid w:val="0023356B"/>
    <w:rsid w:val="002355E9"/>
    <w:rsid w:val="00256E1F"/>
    <w:rsid w:val="00267569"/>
    <w:rsid w:val="00272E75"/>
    <w:rsid w:val="00290297"/>
    <w:rsid w:val="002A0638"/>
    <w:rsid w:val="002B72B2"/>
    <w:rsid w:val="002C6865"/>
    <w:rsid w:val="002E01FE"/>
    <w:rsid w:val="002E6384"/>
    <w:rsid w:val="002F08BE"/>
    <w:rsid w:val="002F0EB5"/>
    <w:rsid w:val="002F135E"/>
    <w:rsid w:val="00302700"/>
    <w:rsid w:val="00305458"/>
    <w:rsid w:val="00315CC7"/>
    <w:rsid w:val="003174D2"/>
    <w:rsid w:val="003233A9"/>
    <w:rsid w:val="00324290"/>
    <w:rsid w:val="00325B26"/>
    <w:rsid w:val="00326BF8"/>
    <w:rsid w:val="003277BF"/>
    <w:rsid w:val="00327989"/>
    <w:rsid w:val="003415CF"/>
    <w:rsid w:val="00342714"/>
    <w:rsid w:val="003514A8"/>
    <w:rsid w:val="00357219"/>
    <w:rsid w:val="00362CAD"/>
    <w:rsid w:val="0036747D"/>
    <w:rsid w:val="003740DB"/>
    <w:rsid w:val="00374C6E"/>
    <w:rsid w:val="003817D0"/>
    <w:rsid w:val="00387B61"/>
    <w:rsid w:val="003A7EAB"/>
    <w:rsid w:val="003B24CF"/>
    <w:rsid w:val="003C4BF4"/>
    <w:rsid w:val="003D72E9"/>
    <w:rsid w:val="003E3179"/>
    <w:rsid w:val="00401347"/>
    <w:rsid w:val="00407715"/>
    <w:rsid w:val="004110B6"/>
    <w:rsid w:val="0041169C"/>
    <w:rsid w:val="00447072"/>
    <w:rsid w:val="00447371"/>
    <w:rsid w:val="00447CC2"/>
    <w:rsid w:val="00481926"/>
    <w:rsid w:val="004C4B42"/>
    <w:rsid w:val="004D49C6"/>
    <w:rsid w:val="004E1FBF"/>
    <w:rsid w:val="004E24AD"/>
    <w:rsid w:val="004E7247"/>
    <w:rsid w:val="00510F49"/>
    <w:rsid w:val="005119B2"/>
    <w:rsid w:val="00515111"/>
    <w:rsid w:val="0053390E"/>
    <w:rsid w:val="005379D9"/>
    <w:rsid w:val="0054025D"/>
    <w:rsid w:val="005478D8"/>
    <w:rsid w:val="00547DD7"/>
    <w:rsid w:val="0055222B"/>
    <w:rsid w:val="0055401E"/>
    <w:rsid w:val="00555AE8"/>
    <w:rsid w:val="00563E30"/>
    <w:rsid w:val="0056450F"/>
    <w:rsid w:val="0059498D"/>
    <w:rsid w:val="0059569E"/>
    <w:rsid w:val="00596C24"/>
    <w:rsid w:val="0059728C"/>
    <w:rsid w:val="005B06D6"/>
    <w:rsid w:val="005B525E"/>
    <w:rsid w:val="005C098B"/>
    <w:rsid w:val="005D3B57"/>
    <w:rsid w:val="005D578D"/>
    <w:rsid w:val="006157BF"/>
    <w:rsid w:val="0062787D"/>
    <w:rsid w:val="00634D56"/>
    <w:rsid w:val="006374C7"/>
    <w:rsid w:val="006401DC"/>
    <w:rsid w:val="00642E7B"/>
    <w:rsid w:val="006473B8"/>
    <w:rsid w:val="00653E56"/>
    <w:rsid w:val="00660038"/>
    <w:rsid w:val="0066024B"/>
    <w:rsid w:val="006662BF"/>
    <w:rsid w:val="00677C0E"/>
    <w:rsid w:val="006963F6"/>
    <w:rsid w:val="006A259E"/>
    <w:rsid w:val="006B3813"/>
    <w:rsid w:val="006C1507"/>
    <w:rsid w:val="006D3803"/>
    <w:rsid w:val="006E6550"/>
    <w:rsid w:val="006F133E"/>
    <w:rsid w:val="006F1B11"/>
    <w:rsid w:val="006F2500"/>
    <w:rsid w:val="006F27C4"/>
    <w:rsid w:val="006F5723"/>
    <w:rsid w:val="00702D84"/>
    <w:rsid w:val="00703E1A"/>
    <w:rsid w:val="007111C4"/>
    <w:rsid w:val="00713C74"/>
    <w:rsid w:val="00714B38"/>
    <w:rsid w:val="00725581"/>
    <w:rsid w:val="007308B9"/>
    <w:rsid w:val="007750B8"/>
    <w:rsid w:val="00776E78"/>
    <w:rsid w:val="007A5D30"/>
    <w:rsid w:val="007A64B1"/>
    <w:rsid w:val="007B7CE4"/>
    <w:rsid w:val="007C54A6"/>
    <w:rsid w:val="007D23A5"/>
    <w:rsid w:val="007D41BE"/>
    <w:rsid w:val="00804C32"/>
    <w:rsid w:val="0081170D"/>
    <w:rsid w:val="008146C5"/>
    <w:rsid w:val="00822540"/>
    <w:rsid w:val="008405B6"/>
    <w:rsid w:val="00852B53"/>
    <w:rsid w:val="00855076"/>
    <w:rsid w:val="00862E11"/>
    <w:rsid w:val="00873DB0"/>
    <w:rsid w:val="00881E6F"/>
    <w:rsid w:val="00892BD0"/>
    <w:rsid w:val="008A2E23"/>
    <w:rsid w:val="008A51A4"/>
    <w:rsid w:val="008A5D78"/>
    <w:rsid w:val="008B4205"/>
    <w:rsid w:val="008C1083"/>
    <w:rsid w:val="008C2C17"/>
    <w:rsid w:val="008D1705"/>
    <w:rsid w:val="008D50DC"/>
    <w:rsid w:val="008F2AFD"/>
    <w:rsid w:val="009117CA"/>
    <w:rsid w:val="009161CD"/>
    <w:rsid w:val="0094081A"/>
    <w:rsid w:val="00941666"/>
    <w:rsid w:val="00983436"/>
    <w:rsid w:val="009A05B5"/>
    <w:rsid w:val="009A744A"/>
    <w:rsid w:val="009B28C2"/>
    <w:rsid w:val="009C261A"/>
    <w:rsid w:val="009C58BA"/>
    <w:rsid w:val="009D53DE"/>
    <w:rsid w:val="009E2A0E"/>
    <w:rsid w:val="009F69CE"/>
    <w:rsid w:val="00A01A0E"/>
    <w:rsid w:val="00A33DDF"/>
    <w:rsid w:val="00A34456"/>
    <w:rsid w:val="00A42717"/>
    <w:rsid w:val="00A43763"/>
    <w:rsid w:val="00A50743"/>
    <w:rsid w:val="00A7033E"/>
    <w:rsid w:val="00A72BBE"/>
    <w:rsid w:val="00A75B21"/>
    <w:rsid w:val="00AA3ACE"/>
    <w:rsid w:val="00AE64B4"/>
    <w:rsid w:val="00AF747A"/>
    <w:rsid w:val="00B15947"/>
    <w:rsid w:val="00B36884"/>
    <w:rsid w:val="00B57EBE"/>
    <w:rsid w:val="00B71ABC"/>
    <w:rsid w:val="00B767CB"/>
    <w:rsid w:val="00B94709"/>
    <w:rsid w:val="00BA2729"/>
    <w:rsid w:val="00BB022A"/>
    <w:rsid w:val="00BB1BEA"/>
    <w:rsid w:val="00BD0199"/>
    <w:rsid w:val="00BD51A8"/>
    <w:rsid w:val="00BD56F4"/>
    <w:rsid w:val="00BD7A7E"/>
    <w:rsid w:val="00BE4D4B"/>
    <w:rsid w:val="00BE601F"/>
    <w:rsid w:val="00C039FA"/>
    <w:rsid w:val="00C12B71"/>
    <w:rsid w:val="00C20633"/>
    <w:rsid w:val="00C25EAD"/>
    <w:rsid w:val="00C313C5"/>
    <w:rsid w:val="00C31DA4"/>
    <w:rsid w:val="00C71FAC"/>
    <w:rsid w:val="00C91877"/>
    <w:rsid w:val="00CB1AE3"/>
    <w:rsid w:val="00CC5F99"/>
    <w:rsid w:val="00CF2A9B"/>
    <w:rsid w:val="00D04230"/>
    <w:rsid w:val="00D16A35"/>
    <w:rsid w:val="00D26E85"/>
    <w:rsid w:val="00D70B53"/>
    <w:rsid w:val="00DA765F"/>
    <w:rsid w:val="00DB3AA1"/>
    <w:rsid w:val="00DD4269"/>
    <w:rsid w:val="00DD6AFF"/>
    <w:rsid w:val="00DD6F3C"/>
    <w:rsid w:val="00DE1F74"/>
    <w:rsid w:val="00DF1C18"/>
    <w:rsid w:val="00DF47D4"/>
    <w:rsid w:val="00E01C7E"/>
    <w:rsid w:val="00E0210A"/>
    <w:rsid w:val="00E1019E"/>
    <w:rsid w:val="00E215C2"/>
    <w:rsid w:val="00E23344"/>
    <w:rsid w:val="00E238E4"/>
    <w:rsid w:val="00E26272"/>
    <w:rsid w:val="00E264CE"/>
    <w:rsid w:val="00E51242"/>
    <w:rsid w:val="00E56092"/>
    <w:rsid w:val="00E67D1A"/>
    <w:rsid w:val="00E7188C"/>
    <w:rsid w:val="00E76520"/>
    <w:rsid w:val="00E92D46"/>
    <w:rsid w:val="00E97405"/>
    <w:rsid w:val="00EA010C"/>
    <w:rsid w:val="00EA3A4B"/>
    <w:rsid w:val="00EB7827"/>
    <w:rsid w:val="00ED75D5"/>
    <w:rsid w:val="00EE1393"/>
    <w:rsid w:val="00EE75AC"/>
    <w:rsid w:val="00F161CC"/>
    <w:rsid w:val="00F2556B"/>
    <w:rsid w:val="00F30B30"/>
    <w:rsid w:val="00F35B89"/>
    <w:rsid w:val="00F62366"/>
    <w:rsid w:val="00F82A32"/>
    <w:rsid w:val="00F8718E"/>
    <w:rsid w:val="00F905D3"/>
    <w:rsid w:val="00F92710"/>
    <w:rsid w:val="00FB2985"/>
    <w:rsid w:val="00FB760B"/>
    <w:rsid w:val="00FC1B45"/>
    <w:rsid w:val="00FD1CC8"/>
    <w:rsid w:val="00FF14E6"/>
    <w:rsid w:val="00FF5C8E"/>
    <w:rsid w:val="0327367D"/>
    <w:rsid w:val="1C590C29"/>
    <w:rsid w:val="2A0901EF"/>
    <w:rsid w:val="475F50A3"/>
    <w:rsid w:val="50330BE3"/>
    <w:rsid w:val="63E7155F"/>
    <w:rsid w:val="758D65D8"/>
    <w:rsid w:val="789259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3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60038"/>
    <w:pPr>
      <w:ind w:leftChars="2500" w:left="100"/>
    </w:pPr>
  </w:style>
  <w:style w:type="paragraph" w:styleId="a4">
    <w:name w:val="Balloon Text"/>
    <w:basedOn w:val="a"/>
    <w:link w:val="Char0"/>
    <w:uiPriority w:val="99"/>
    <w:semiHidden/>
    <w:rsid w:val="00660038"/>
    <w:rPr>
      <w:sz w:val="18"/>
      <w:szCs w:val="18"/>
    </w:rPr>
  </w:style>
  <w:style w:type="paragraph" w:styleId="a5">
    <w:name w:val="footer"/>
    <w:basedOn w:val="a"/>
    <w:link w:val="Char1"/>
    <w:uiPriority w:val="99"/>
    <w:rsid w:val="00660038"/>
    <w:pPr>
      <w:tabs>
        <w:tab w:val="center" w:pos="4153"/>
        <w:tab w:val="right" w:pos="8306"/>
      </w:tabs>
      <w:snapToGrid w:val="0"/>
      <w:jc w:val="left"/>
    </w:pPr>
    <w:rPr>
      <w:sz w:val="18"/>
      <w:szCs w:val="18"/>
    </w:rPr>
  </w:style>
  <w:style w:type="paragraph" w:styleId="a6">
    <w:name w:val="header"/>
    <w:basedOn w:val="a"/>
    <w:link w:val="Char2"/>
    <w:uiPriority w:val="99"/>
    <w:rsid w:val="0066003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660038"/>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rsid w:val="00660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660038"/>
    <w:rPr>
      <w:color w:val="000000"/>
      <w:u w:val="none"/>
    </w:rPr>
  </w:style>
  <w:style w:type="character" w:customStyle="1" w:styleId="Char0">
    <w:name w:val="批注框文本 Char"/>
    <w:basedOn w:val="a0"/>
    <w:link w:val="a4"/>
    <w:uiPriority w:val="99"/>
    <w:semiHidden/>
    <w:rsid w:val="00660038"/>
    <w:rPr>
      <w:sz w:val="0"/>
      <w:szCs w:val="0"/>
    </w:rPr>
  </w:style>
  <w:style w:type="character" w:customStyle="1" w:styleId="Char2">
    <w:name w:val="页眉 Char"/>
    <w:basedOn w:val="a0"/>
    <w:link w:val="a6"/>
    <w:uiPriority w:val="99"/>
    <w:locked/>
    <w:rsid w:val="00660038"/>
    <w:rPr>
      <w:kern w:val="2"/>
      <w:sz w:val="18"/>
      <w:szCs w:val="18"/>
    </w:rPr>
  </w:style>
  <w:style w:type="character" w:customStyle="1" w:styleId="Char1">
    <w:name w:val="页脚 Char"/>
    <w:basedOn w:val="a0"/>
    <w:link w:val="a5"/>
    <w:uiPriority w:val="99"/>
    <w:locked/>
    <w:rsid w:val="00660038"/>
    <w:rPr>
      <w:kern w:val="2"/>
      <w:sz w:val="18"/>
      <w:szCs w:val="18"/>
    </w:rPr>
  </w:style>
  <w:style w:type="character" w:customStyle="1" w:styleId="Char">
    <w:name w:val="日期 Char"/>
    <w:basedOn w:val="a0"/>
    <w:link w:val="a3"/>
    <w:uiPriority w:val="99"/>
    <w:semiHidden/>
    <w:rsid w:val="00660038"/>
    <w:rPr>
      <w:kern w:val="2"/>
      <w:sz w:val="21"/>
      <w:szCs w:val="21"/>
    </w:rPr>
  </w:style>
  <w:style w:type="paragraph" w:customStyle="1" w:styleId="Default">
    <w:name w:val="Default"/>
    <w:rsid w:val="00660038"/>
    <w:pPr>
      <w:widowControl w:val="0"/>
      <w:autoSpaceDE w:val="0"/>
      <w:autoSpaceDN w:val="0"/>
      <w:adjustRightInd w:val="0"/>
    </w:pPr>
    <w:rPr>
      <w:color w:val="000000"/>
      <w:sz w:val="24"/>
      <w:szCs w:val="24"/>
    </w:rPr>
  </w:style>
  <w:style w:type="paragraph" w:styleId="aa">
    <w:name w:val="No Spacing"/>
    <w:uiPriority w:val="1"/>
    <w:qFormat/>
    <w:rsid w:val="00660038"/>
    <w:pPr>
      <w:widowControl w:val="0"/>
      <w:jc w:val="both"/>
    </w:pPr>
    <w:rPr>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B47A3-A7ED-4C67-AEE3-69D459F3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1377</Characters>
  <Application>Microsoft Office Word</Application>
  <DocSecurity>4</DocSecurity>
  <Lines>11</Lines>
  <Paragraphs>3</Paragraphs>
  <ScaleCrop>false</ScaleCrop>
  <Company>ICBCOA</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工银瑞信基金管理有限公司关于旗下基金申购天音控股股份有限公司非公开发行股票的公告 </dc:title>
  <dc:creator>GYJJ</dc:creator>
  <cp:lastModifiedBy>ZHONGM</cp:lastModifiedBy>
  <cp:revision>2</cp:revision>
  <cp:lastPrinted>2020-09-16T00:39:00Z</cp:lastPrinted>
  <dcterms:created xsi:type="dcterms:W3CDTF">2023-10-10T16:02:00Z</dcterms:created>
  <dcterms:modified xsi:type="dcterms:W3CDTF">2023-10-10T16:02:00Z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E2ED6B2A48EF436896F09751673184AC</vt:lpwstr>
  </property>
</Properties>
</file>