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1717FC">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1176C6" w:rsidP="001717FC">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2022</w:t>
      </w:r>
      <w:r w:rsidR="00B0625A">
        <w:rPr>
          <w:rFonts w:ascii="仿宋" w:eastAsia="仿宋" w:hAnsi="仿宋" w:hint="eastAsia"/>
          <w:b/>
          <w:color w:val="000000" w:themeColor="text1"/>
          <w:sz w:val="36"/>
          <w:szCs w:val="36"/>
        </w:rPr>
        <w:t>年第四</w:t>
      </w:r>
      <w:r>
        <w:rPr>
          <w:rFonts w:ascii="仿宋" w:eastAsia="仿宋" w:hAnsi="仿宋" w:hint="eastAsia"/>
          <w:b/>
          <w:color w:val="000000" w:themeColor="text1"/>
          <w:sz w:val="36"/>
          <w:szCs w:val="36"/>
        </w:rPr>
        <w:t>季度报告提示性公告</w:t>
      </w:r>
    </w:p>
    <w:p w:rsidR="00254FD6" w:rsidRDefault="00254FD6" w:rsidP="001717FC">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董事会及董事保证基金2022年第</w:t>
      </w:r>
      <w:r w:rsidR="00B0625A">
        <w:rPr>
          <w:rFonts w:ascii="仿宋" w:eastAsia="仿宋" w:hAnsi="仿宋" w:hint="eastAsia"/>
          <w:color w:val="000000" w:themeColor="text1"/>
          <w:sz w:val="28"/>
          <w:szCs w:val="28"/>
        </w:rPr>
        <w:t>四</w:t>
      </w:r>
      <w:r w:rsidR="001176C6">
        <w:rPr>
          <w:rFonts w:ascii="仿宋" w:eastAsia="仿宋" w:hAnsi="仿宋" w:hint="eastAsia"/>
          <w:color w:val="000000" w:themeColor="text1"/>
          <w:sz w:val="28"/>
          <w:szCs w:val="28"/>
        </w:rPr>
        <w:t>季度报告所载资料不存在虚假记载、误导性陈述或重大遗漏，并对其内容的真实性、准确性和完整性承担个别及连带责任。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本公司2022年第四季度报告涉及基金明细如下：</w:t>
      </w:r>
    </w:p>
    <w:tbl>
      <w:tblPr>
        <w:tblW w:w="8860" w:type="dxa"/>
        <w:tblLook w:val="04A0"/>
      </w:tblPr>
      <w:tblGrid>
        <w:gridCol w:w="8860"/>
      </w:tblGrid>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南方稳健成长证券投资基金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南方宝元债券型基金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南方现金增利基金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中证南方小康产业交易型开放式指数证券投资基金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南方积极配置混合型证券投资基金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南方高增长混合型证券投资基金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南方多利增强债券型证券投资基金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南方稳健成长贰号证券投资基金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南方绩优成长混合型证券投资基金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南方成份精选混合型证券投资基金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南方全球精选配置证券投资基金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南方隆元产业主题混合型证券投资基金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南方盛元红利混合型证券投资基金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南方优选价值混合型证券投资基金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南方中证100指数证券投资基金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lastRenderedPageBreak/>
              <w:t>南方沪深300交易型开放式指数证券投资基金联接基金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南方中证500交易型开放式指数证券投资基金联接基金(LOF)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深证成份交易型开放式指数证券投资基金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南方深证成份交易型开放式指数证券投资基金联接基金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南方策略优化混合型证券投资基金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中证南方小康产业交易型开放式指数证券投资基金联接基金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南方广利回报债券型证券投资基金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南方优选成长混合型证券投资基金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南方平衡配置混合型证券投资基金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上证380交易型开放式指数证券投资基金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南方上证380交易型开放式指数证券投资基金联接基金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南方香港优选股票型证券投资基金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南方新兴消费增长股票型证券投资基金(LOF)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南方金利定期开放债券型证券投资基金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南方润元纯债债券型证券投资基金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南方旺元60天滚动持有中短债债券型证券投资基金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南方核心竞争混合型证券投资基金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南方收益宝货币市场基金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中证500交易型开放式指数证券投资基金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南方沪深300交易型开放式指数证券投资基金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南方稳利1年定期开放债券型证券投资基金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南方丰元信用增强债券型证券投资基金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南方现金通货币市场基金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南方医药保健灵活配置混合型证券投资基金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南方新优享灵活配置混合型证券投资基金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南方通利债券型证券投资基金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中国梦灵活配置混合型证券投资基金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南方薪金宝货币市场基金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南方天元新产业股票型证券投资基金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南方高端装备灵活配置混合型证券投资基金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南方启元债券型证券投资基金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南方绝对收益策略定期开放混合型发起式证券投资基金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南方理财金交易型货币市场基金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南方产业活力股票型证券投资基金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南方双元债券型证券投资基金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南方创新经济灵活配置混合型证券投资基金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南方利淘灵活配置混合型证券投资基金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南方大数据100指数证券投资基金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南方改革机遇灵活配置混合型证券投资基金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南方利鑫灵活配置混合型证券投资基金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南方利众灵活配置混合型证券投资基金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南方潜力新蓝筹混合型证券投资基金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南方中证高铁产业指数证券投资基金（LOF）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南方大数据300指数证券投资基金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中证500信息技术指数交易型开放式指数证券投资基金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南方量化成长股票型证券投资基金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南方利达灵活配置混合型证券投资基金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南方国策动力股票型证券投资基金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南方香港成长灵活配置混合型证券投资基金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南方中小盘成长股票型证券投资基金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南方荣光灵活配置混合型证券投资基金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南方弘利定期开放债券型发起式证券投资基金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南方瑞利灵活配置混合型证券投资基金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南方益和灵活配置混合型证券投资基金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南方日添益货币市场基金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南方君选灵活配置混合型证券投资基金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南方亚洲美元收益债券型证券投资基金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南方转型驱动灵活配置混合型证券投资基金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南方新兴龙头灵活配置混合型证券投资基金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南方创业板交易型开放式指数证券投资基金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南方创业板交易型开放式指数证券投资基金联接基金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南方原油证券投资基金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南方品质优选灵活配置混合型证券投资基金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南方转型增长灵活配置混合型证券投资基金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南方中证500信息技术指数交易型开放式指数证券投资基金发起式联接基金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南方颐元定期开放债券型发起式证券投资基金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南方中证1000交易型开放式指数证券投资基金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南方多元定期开放债券型发起式证券投资基金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南方天天利货币市场基金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南方卓元债券型证券投资基金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南方安裕混合型证券投资基金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南方中证500量化增强股票型发起式证券投资基金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南方宣利定期开放债券型证券投资基金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南方安颐混合型证券投资基金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南方宏元定期开放债券型发起式证券投资基金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南方产业智选股票型证券投资基金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南方中证全指证券公司交易型开放式指数证券投资基金联接基金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南方军工改革灵活配置混合型证券投资基金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南方中证全指证券公司交易型开放式指数证券投资基金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南方智慧精选灵活配置混合型证券投资基金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南方和元债券型证券投资基金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南方荣尊混合型证券投资基金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南方纯元债券型证券投资基金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南方安康混合型证券投资基金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南方中证银行交易型开放式指数证券投资基金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南方中证银行交易型开放式指数证券投资基金发起式联接基金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南方荣年定期开放混合型证券投资基金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南方中证申万有色金属交易型开放式指数证券投资基金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南方金融主题灵活配置混合型证券投资基金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南方祥元债券型证券投资基金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南方天天宝货币市场基金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南方中证全指房地产交易型开放式指数证券投资基金发起式联接基金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南方中证全指房地产交易型开放式指数证券投资基金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南方中证申万有色金属交易型开放式指数证券投资基金发起式联接基金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南方兴利半年定期开放债券型发起式证券投资基金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南方兴盛先锋灵活配置混合型证券投资基金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南方全天候策略混合型基金中基金(FOF)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南方道琼斯美国精选REIT指数证券投资基金（QDII-LOF）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南方安福混合型证券投资基金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南方优享分红灵活配置混合型证券投资基金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南方卓利3个月定期开放债券型发起式证券投资基金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南方安养混合型证券投资基金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南方恒生中国企业交易型开放式指数证券投资基金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南方恒生中国企业交易型开放式指数证券投资基金联接基金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南方浙利定期开放债券型发起式证券投资基金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南方乾利定期开放债券型发起式证券投资基金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南方希元可转债债券型证券投资基金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MSCI中国A股国际通交易型开放式指数证券投资基金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南方涪利定期开放债券型发起式证券投资基金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南方成安优选灵活配置混合型证券投资基金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南方瑞祥一年定期开放灵活配置混合型证券投资基金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南方君信灵活配置混合型证券投资基金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MSCI中国A股国际通交易型开放式指数证券投资基金发起式联接基金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南方优势产业灵活配置混合型证券投资基金(LOF)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南方瑞合三年定期开放混合型发起式证券投资基金(LOF)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南方泽元债券型证券投资基金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南方赢元债券型证券投资基金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南方人工智能主题混合型证券投资基金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南方养老目标日期2035三年持有期混合型基金中基金(FOF)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南方中债1-3年国开行债券指数证券投资基金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南方吉元短债债券型证券投资基金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南方中债3-5年农发行债券指数证券投资基金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南方交元债券型证券投资基金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南方畅利定期开放债券型发起式证券投资基金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南方昌元可转债债券型证券投资基金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南方国利6个月定期开放债券型发起式证券投资基金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南方合顺多资产配置混合型基金中基金(FOF)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南方华元债券型证券投资基金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南方臻元债券型证券投资基金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南方亨元债券型发起式证券投资基金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南方智诚混合型证券投资基金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南方中债7-10年国开行债券指数证券投资基金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南方鑫利3个月定期开放债券型发起式证券投资基金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南方惠利6个月定期开放债券型证券投资基金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南方科技创新混合型证券投资基金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南方富元稳健养老目标一年持有期混合型基金中基金（FOF）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南方恒庆一年定期开放债券型证券投资基金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南方致远混合型证券投资基金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南方顶峰TOPIX交易型开放式指数证券投资基金(QDII)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南方初元中短债债券型发起式证券投资基金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南方信息创新混合型证券投资基金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南方旭元债券型发起式证券投资基金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南方泰元债券型发起式证券投资基金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南方恒新39个月定期开放债券型证券投资基金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南方贺元利率债债券型证券投资基金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南方聪元债券型发起式证券投资基金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南方智锐混合型证券投资基金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南方梦元短债债券型证券投资基金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南方定元中短债债券型证券投资基金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南方皓元短债债券型证券投资基金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南方粤港澳大湾区创新100交易型开放式指数证券投资基金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南方养老目标日期2030三年持有期混合型发起式基金中基金(FOF)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南方ESG主题股票型证券投资基金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南方远利3个月定期开放债券型发起式证券投资基金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南方宝泰一年持有期混合型证券投资基金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南方宁利一年定期开放债券型发起式证券投资基金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南方标普中国A股大盘红利低波50交易型开放式指数证券投资基金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南方标普中国A股大盘红利低波50交易型开放式指数证券投资基金联接基金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南方内需增长两年持有期股票型证券投资基金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南方尊利一年定期开放债券型发起式证券投资基金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南方骏元中短期利率债债券型证券投资基金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南方鼎利一年定期开放债券型发起式证券投资基金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南方中债0-5年中高等级江苏省城投类债券指数证券投资基金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南方乐元中短期利率债债券型证券投资基金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南方得利一年定期开放债券型发起式证券投资基金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南方粤港澳大湾区创新100交易型开放式指数证券投资基金发起式联接基金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南方集利18个月定期开放债券型证券投资基金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南方瑞盛三年持有期混合型证券投资基金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南方中债1-5年国开行债券指数证券投资基金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南方沪深300指数增强型证券投资基金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南方上证50指数增强型发起式证券投资基金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南方誉慧一年持有期混合型证券投资基金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南方招利一年定期开放债券型发起式证券投资基金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南方誉丰18个月持有期混合型证券投资基金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南方成长先锋混合型证券投资基金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南方昭元债券型发起式证券投资基金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南方升元中短期利率债债券型证券投资基金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南方核心成长混合型证券投资基金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南方创新精选一年定期开放混合型发起式证券投资基金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南方养老目标日期2045三年持有期混合型发起式基金中基金(FOF)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南方高股息主题股票型证券投资基金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南方科创板3年定期开放混合型证券投资基金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南方养老目标日期2040三年持有期混合型发起式基金中基金(FOF)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南方景气驱动混合型证券投资基金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南方中债0-2年国开行债券指数证券投资基金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南方产业优势两年持有期混合型证券投资基金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南方创新驱动混合型证券投资基金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南方创业板2年定期开放混合型证券投资基金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南方行业精选一年持有期混合型证券投资基金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南方誉尚一年持有期混合型证券投资基金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南方誉鼎一年持有期混合型证券投资基金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南方中证互联网指数证券投资基金(LOF)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南方产业升级混合型证券投资基金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南方沪港深核心优势混合型证券投资基金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南方宁悦一年持有期混合型证券投资基金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南方宝升混合型证券投资基金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南方阿尔法混合型证券投资基金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南方消费升级混合型证券投资基金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南方中证新能源交易型开放式指数证券投资基金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南方匠心优选股票型证券投资基金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南方兴润价值一年持有期混合型证券投资基金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南方卓越优选3个月持有期混合型证券投资基金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南方医药创新股票型证券投资基金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南方优质企业混合型证券投资基金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南方中证创新药产业交易型开放式指数证券投资基金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南方宝顺混合型证券投资基金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南方远见回报股票型证券投资基金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南方崇元纯债债券型证券投资基金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南方誉享一年持有期混合型证券投资基金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南方誉隆一年持有期混合型证券投资基金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南方浩睿进取京选3个月持有期混合型基金中基金（FOF）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南方均衡回报混合型证券投资基金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南方誉浦一年持有期混合型证券投资基金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南方晖元6个月持有期债券型证券投资基金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南方宝恒混合型证券投资基金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南方景元中高等级信用债债券型证券投资基金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南方臻利3个月定期开放债券型发起式证券投资基金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南方佳元6个月持有期债券型证券投资基金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南方价值臻选混合型证券投资基金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南方中证科创创业50交易型开放式指数证券投资基金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南方中证香港科技交易型开放式指数证券投资基金(QDII)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南方港股通优势企业混合型证券投资基金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南方富瑞稳健养老目标一年持有期混合型基金中基金(FOF)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南方行业领先混合型证券投资基金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南方中国新兴经济9个月持有期混合型证券投资基金(QDII)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南方中证科创创业50交易型开放式指数证券投资基金联接基金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南方中证新能源交易型开放式指数证券投资基金联接基金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南方新能源产业趋势混合型证券投资基金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南方季季享90天滚动持有债券型证券投资基金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南方均衡优选一年持有期混合型证券投资基金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南方兴锦利一年定期开放债券型发起式证券投资基金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南方蓝筹成长混合型证券投资基金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南方中证1000交易型开放式指数证券投资基金发起式联接基金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南方中证科技100交易型开放式指数证券投资基金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南方富誉稳健养老目标一年持有期混合型基金中基金（FOF）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南方中证全指医疗保健设备与服务交易型开放式指数证券投资基金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南方永元一年持有期债券型证券投资基金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南方MSCI中国A50互联互通交易型开放式指数证券投资基金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南方中证物联网主题交易型开放式指数证券投资基金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南方月月享30天滚动持有债券型发起式证券投资基金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南方北交所精选两年定期开放混合型发起式证券投资基金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南方领航优选混合型证券投资基金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南方定利一年定期开放债券型证券投资基金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南方中证长江保护主题交易型开放式指数证券投资基金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南方誉盈一年持有期混合型证券投资基金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南方上证科创板50成份交易型开放式指数证券投资基金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南方富时中国国企开放共赢交易型开放式指数证券投资基金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南方中证同业存单AAA指数7天持有期证券投资基金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南方港股创新视野一年持有期混合型证券投资基金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南方国证在线消费交易型开放式指数证券投资基金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南方专精特新混合型证券投资基金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南方MSCI中国A50互联互通交易型开放式指数证券投资基金联接基金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南方宝昌混合型证券投资基金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南方中证500增强策略交易型开放式指数证券投资基金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南方通元6个月持有期债券型证券投资基金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南方比较优势混合型证券投资基金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南方新兴产业混合型证券投资基金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南方宝裕混合型证券投资基金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南方上海金交易型开放式证券投资基金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南方发展机遇一年持有期混合型证券投资基金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南方养老目标日期2050五年持有期混合型发起式基金中基金（FOF）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南方信元债券型证券投资基金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南方竞争优势混合型证券投资基金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南方浩泰平衡优选一年持有期混合型基金中基金（FOF）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南方富祥稳健养老目标一年持有期混合型基金中基金（FOF）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南方浩益进取聚申3个月持有期混合型基金中基金（FOF）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南方誉稳一年持有期混合型证券投资基金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南方誉恒一年持有期混合型证券投资基金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南方誉泰稳健6个月持有期混合型基金中基金（FOF）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南方恒生香港上市生物科技交易型开放式指数证券投资基金(QDII)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南方固元6个月持有期债券型证券投资基金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南方中证上海环交所碳中和交易型开放式指数证券投资基金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0B673F" w:rsidP="00812700">
            <w:pPr>
              <w:widowControl/>
              <w:jc w:val="left"/>
              <w:rPr>
                <w:rFonts w:ascii="仿宋" w:eastAsia="仿宋" w:hAnsi="仿宋"/>
                <w:color w:val="000000" w:themeColor="text1"/>
                <w:sz w:val="28"/>
                <w:szCs w:val="28"/>
              </w:rPr>
            </w:pPr>
            <w:r>
              <w:rPr>
                <w:rFonts w:ascii="仿宋" w:eastAsia="仿宋" w:hAnsi="仿宋" w:hint="eastAsia"/>
                <w:color w:val="000000" w:themeColor="text1"/>
                <w:sz w:val="28"/>
                <w:szCs w:val="28"/>
              </w:rPr>
              <w:t>南方晨利一年定期开放</w:t>
            </w:r>
            <w:r w:rsidR="00812700" w:rsidRPr="00812700">
              <w:rPr>
                <w:rFonts w:ascii="仿宋" w:eastAsia="仿宋" w:hAnsi="仿宋" w:hint="eastAsia"/>
                <w:color w:val="000000" w:themeColor="text1"/>
                <w:sz w:val="28"/>
                <w:szCs w:val="28"/>
              </w:rPr>
              <w:t>债券</w:t>
            </w:r>
            <w:r>
              <w:rPr>
                <w:rFonts w:ascii="仿宋" w:eastAsia="仿宋" w:hAnsi="仿宋" w:hint="eastAsia"/>
                <w:color w:val="000000" w:themeColor="text1"/>
                <w:sz w:val="28"/>
                <w:szCs w:val="28"/>
              </w:rPr>
              <w:t>型</w:t>
            </w:r>
            <w:bookmarkStart w:id="0" w:name="_GoBack"/>
            <w:bookmarkEnd w:id="0"/>
            <w:r w:rsidR="00812700" w:rsidRPr="00812700">
              <w:rPr>
                <w:rFonts w:ascii="仿宋" w:eastAsia="仿宋" w:hAnsi="仿宋" w:hint="eastAsia"/>
                <w:color w:val="000000" w:themeColor="text1"/>
                <w:sz w:val="28"/>
                <w:szCs w:val="28"/>
              </w:rPr>
              <w:t>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南方宝祥混合型证券投资基金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南方高质量优选混合型证券投资基金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南方鑫悦15个月持有期混合型证券投资基金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南方耀元债券型证券投资基金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南方光元债券型证券投资基金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南方均衡成长混合型证券投资基金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南方上证科创板新材料交易型开放式指数证券投资基金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南方碳中和股票型发起式证券投资基金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南方景气楚荟3个月持有期混合型基金中基金（FOF）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南方浩鑫稳健优选6个月持有期混合型基金中基金（FOF）</w:t>
            </w:r>
          </w:p>
        </w:tc>
      </w:tr>
    </w:tbl>
    <w:p w:rsidR="00254FD6" w:rsidRDefault="00B50694" w:rsidP="00B50694">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上述基金2022年第四季度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w:t>
      </w:r>
      <w:r w:rsidR="00B0625A">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年</w:t>
      </w:r>
      <w:r w:rsidR="00B0625A">
        <w:rPr>
          <w:rFonts w:ascii="仿宋" w:eastAsia="仿宋" w:hAnsi="仿宋"/>
          <w:color w:val="000000" w:themeColor="text1"/>
          <w:sz w:val="28"/>
          <w:szCs w:val="28"/>
        </w:rPr>
        <w:t>1</w:t>
      </w:r>
      <w:r w:rsidR="001176C6">
        <w:rPr>
          <w:rFonts w:ascii="仿宋" w:eastAsia="仿宋" w:hAnsi="仿宋" w:hint="eastAsia"/>
          <w:color w:val="000000" w:themeColor="text1"/>
          <w:sz w:val="28"/>
          <w:szCs w:val="28"/>
        </w:rPr>
        <w:t>月</w:t>
      </w:r>
      <w:r w:rsidR="001176C6">
        <w:rPr>
          <w:rFonts w:ascii="仿宋" w:eastAsia="仿宋" w:hAnsi="仿宋"/>
          <w:color w:val="000000" w:themeColor="text1"/>
          <w:sz w:val="28"/>
          <w:szCs w:val="28"/>
        </w:rPr>
        <w:t>2</w:t>
      </w:r>
      <w:r w:rsidR="00B0625A">
        <w:rPr>
          <w:rFonts w:ascii="仿宋" w:eastAsia="仿宋" w:hAnsi="仿宋"/>
          <w:color w:val="000000" w:themeColor="text1"/>
          <w:sz w:val="28"/>
          <w:szCs w:val="28"/>
        </w:rPr>
        <w:t>0</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2023</w:t>
      </w:r>
      <w:r>
        <w:rPr>
          <w:rFonts w:ascii="仿宋" w:eastAsia="仿宋" w:hAnsi="仿宋" w:hint="eastAsia"/>
          <w:color w:val="000000" w:themeColor="text1"/>
          <w:sz w:val="28"/>
          <w:szCs w:val="28"/>
        </w:rPr>
        <w:t>年</w:t>
      </w:r>
      <w:r w:rsidR="00F01331">
        <w:rPr>
          <w:rFonts w:ascii="仿宋" w:eastAsia="仿宋" w:hAnsi="仿宋"/>
          <w:color w:val="000000" w:themeColor="text1"/>
          <w:sz w:val="28"/>
          <w:szCs w:val="28"/>
        </w:rPr>
        <w:t>1</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sidR="00B0625A">
        <w:rPr>
          <w:rFonts w:ascii="仿宋" w:eastAsia="仿宋" w:hAnsi="仿宋"/>
          <w:color w:val="000000" w:themeColor="text1"/>
          <w:sz w:val="28"/>
          <w:szCs w:val="28"/>
        </w:rPr>
        <w:t>0</w:t>
      </w:r>
      <w:r>
        <w:rPr>
          <w:rFonts w:ascii="仿宋" w:eastAsia="仿宋" w:hAnsi="仿宋" w:hint="eastAsia"/>
          <w:color w:val="000000" w:themeColor="text1"/>
          <w:sz w:val="28"/>
          <w:szCs w:val="28"/>
        </w:rPr>
        <w:t>日</w:t>
      </w:r>
    </w:p>
    <w:sectPr w:rsidR="00254FD6" w:rsidSect="00720161">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94" w:rsidRDefault="001176C6">
      <w:r>
        <w:separator/>
      </w:r>
    </w:p>
  </w:endnote>
  <w:endnote w:type="continuationSeparator" w:id="0">
    <w:p w:rsidR="00EF0594" w:rsidRDefault="0011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254FD6" w:rsidRDefault="00720161">
        <w:pPr>
          <w:pStyle w:val="a5"/>
          <w:jc w:val="center"/>
        </w:pPr>
        <w:r>
          <w:fldChar w:fldCharType="begin"/>
        </w:r>
        <w:r w:rsidR="001176C6">
          <w:instrText>PAGE   \* MERGEFORMAT</w:instrText>
        </w:r>
        <w:r>
          <w:fldChar w:fldCharType="separate"/>
        </w:r>
        <w:r w:rsidR="000B673F" w:rsidRPr="000B673F">
          <w:rPr>
            <w:noProof/>
            <w:lang w:val="zh-CN"/>
          </w:rPr>
          <w:t>16</w:t>
        </w:r>
        <w:r>
          <w:fldChar w:fldCharType="end"/>
        </w:r>
      </w:p>
    </w:sdtContent>
  </w:sdt>
  <w:p w:rsidR="00254FD6" w:rsidRDefault="00254F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254FD6" w:rsidRDefault="00720161">
        <w:pPr>
          <w:pStyle w:val="a5"/>
          <w:jc w:val="center"/>
        </w:pPr>
        <w:r>
          <w:fldChar w:fldCharType="begin"/>
        </w:r>
        <w:r w:rsidR="001176C6">
          <w:instrText>PAGE   \* MERGEFORMAT</w:instrText>
        </w:r>
        <w:r>
          <w:fldChar w:fldCharType="separate"/>
        </w:r>
        <w:r w:rsidR="001717FC" w:rsidRPr="001717FC">
          <w:rPr>
            <w:noProof/>
            <w:lang w:val="zh-CN"/>
          </w:rPr>
          <w:t>1</w:t>
        </w:r>
        <w:r>
          <w:fldChar w:fldCharType="end"/>
        </w:r>
      </w:p>
    </w:sdtContent>
  </w:sdt>
  <w:p w:rsidR="00254FD6" w:rsidRDefault="00254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94" w:rsidRDefault="001176C6">
      <w:r>
        <w:separator/>
      </w:r>
    </w:p>
  </w:footnote>
  <w:footnote w:type="continuationSeparator" w:id="0">
    <w:p w:rsidR="00EF0594" w:rsidRDefault="0011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B673F"/>
    <w:rsid w:val="000C06E1"/>
    <w:rsid w:val="000C1032"/>
    <w:rsid w:val="000C7383"/>
    <w:rsid w:val="000D18EF"/>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5D5C"/>
    <w:rsid w:val="00166B15"/>
    <w:rsid w:val="00167CFB"/>
    <w:rsid w:val="001717FC"/>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161"/>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20161"/>
    <w:pPr>
      <w:jc w:val="left"/>
    </w:pPr>
  </w:style>
  <w:style w:type="paragraph" w:styleId="a4">
    <w:name w:val="Balloon Text"/>
    <w:basedOn w:val="a"/>
    <w:link w:val="Char0"/>
    <w:uiPriority w:val="99"/>
    <w:semiHidden/>
    <w:unhideWhenUsed/>
    <w:qFormat/>
    <w:rsid w:val="00720161"/>
    <w:rPr>
      <w:sz w:val="18"/>
      <w:szCs w:val="18"/>
    </w:rPr>
  </w:style>
  <w:style w:type="paragraph" w:styleId="a5">
    <w:name w:val="footer"/>
    <w:basedOn w:val="a"/>
    <w:link w:val="Char1"/>
    <w:uiPriority w:val="99"/>
    <w:unhideWhenUsed/>
    <w:qFormat/>
    <w:rsid w:val="0072016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016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720161"/>
    <w:pPr>
      <w:snapToGrid w:val="0"/>
      <w:jc w:val="left"/>
    </w:pPr>
    <w:rPr>
      <w:sz w:val="18"/>
      <w:szCs w:val="18"/>
    </w:rPr>
  </w:style>
  <w:style w:type="paragraph" w:styleId="a8">
    <w:name w:val="annotation subject"/>
    <w:basedOn w:val="a3"/>
    <w:next w:val="a3"/>
    <w:link w:val="Char4"/>
    <w:uiPriority w:val="99"/>
    <w:semiHidden/>
    <w:unhideWhenUsed/>
    <w:qFormat/>
    <w:rsid w:val="00720161"/>
    <w:rPr>
      <w:b/>
      <w:bCs/>
    </w:rPr>
  </w:style>
  <w:style w:type="character" w:styleId="a9">
    <w:name w:val="Hyperlink"/>
    <w:basedOn w:val="a0"/>
    <w:uiPriority w:val="99"/>
    <w:unhideWhenUsed/>
    <w:qFormat/>
    <w:rsid w:val="00720161"/>
    <w:rPr>
      <w:color w:val="0000FF" w:themeColor="hyperlink"/>
      <w:u w:val="single"/>
    </w:rPr>
  </w:style>
  <w:style w:type="character" w:styleId="aa">
    <w:name w:val="annotation reference"/>
    <w:basedOn w:val="a0"/>
    <w:uiPriority w:val="99"/>
    <w:semiHidden/>
    <w:unhideWhenUsed/>
    <w:qFormat/>
    <w:rsid w:val="00720161"/>
    <w:rPr>
      <w:sz w:val="21"/>
      <w:szCs w:val="21"/>
    </w:rPr>
  </w:style>
  <w:style w:type="character" w:styleId="ab">
    <w:name w:val="footnote reference"/>
    <w:basedOn w:val="a0"/>
    <w:uiPriority w:val="99"/>
    <w:semiHidden/>
    <w:unhideWhenUsed/>
    <w:qFormat/>
    <w:rsid w:val="00720161"/>
    <w:rPr>
      <w:vertAlign w:val="superscript"/>
    </w:rPr>
  </w:style>
  <w:style w:type="character" w:customStyle="1" w:styleId="Char2">
    <w:name w:val="页眉 Char"/>
    <w:basedOn w:val="a0"/>
    <w:link w:val="a6"/>
    <w:uiPriority w:val="99"/>
    <w:qFormat/>
    <w:rsid w:val="00720161"/>
    <w:rPr>
      <w:sz w:val="18"/>
      <w:szCs w:val="18"/>
    </w:rPr>
  </w:style>
  <w:style w:type="character" w:customStyle="1" w:styleId="Char1">
    <w:name w:val="页脚 Char"/>
    <w:basedOn w:val="a0"/>
    <w:link w:val="a5"/>
    <w:uiPriority w:val="99"/>
    <w:qFormat/>
    <w:rsid w:val="00720161"/>
    <w:rPr>
      <w:sz w:val="18"/>
      <w:szCs w:val="18"/>
    </w:rPr>
  </w:style>
  <w:style w:type="paragraph" w:styleId="ac">
    <w:name w:val="List Paragraph"/>
    <w:basedOn w:val="a"/>
    <w:uiPriority w:val="34"/>
    <w:qFormat/>
    <w:rsid w:val="00720161"/>
    <w:pPr>
      <w:ind w:firstLineChars="200" w:firstLine="420"/>
    </w:pPr>
  </w:style>
  <w:style w:type="character" w:customStyle="1" w:styleId="Char0">
    <w:name w:val="批注框文本 Char"/>
    <w:basedOn w:val="a0"/>
    <w:link w:val="a4"/>
    <w:uiPriority w:val="99"/>
    <w:semiHidden/>
    <w:qFormat/>
    <w:rsid w:val="00720161"/>
    <w:rPr>
      <w:sz w:val="18"/>
      <w:szCs w:val="18"/>
    </w:rPr>
  </w:style>
  <w:style w:type="character" w:customStyle="1" w:styleId="Char">
    <w:name w:val="批注文字 Char"/>
    <w:basedOn w:val="a0"/>
    <w:link w:val="a3"/>
    <w:uiPriority w:val="99"/>
    <w:semiHidden/>
    <w:qFormat/>
    <w:rsid w:val="00720161"/>
  </w:style>
  <w:style w:type="character" w:customStyle="1" w:styleId="Char4">
    <w:name w:val="批注主题 Char"/>
    <w:basedOn w:val="Char"/>
    <w:link w:val="a8"/>
    <w:uiPriority w:val="99"/>
    <w:semiHidden/>
    <w:qFormat/>
    <w:rsid w:val="00720161"/>
    <w:rPr>
      <w:b/>
      <w:bCs/>
    </w:rPr>
  </w:style>
  <w:style w:type="character" w:customStyle="1" w:styleId="Char3">
    <w:name w:val="脚注文本 Char"/>
    <w:basedOn w:val="a0"/>
    <w:link w:val="a7"/>
    <w:uiPriority w:val="99"/>
    <w:semiHidden/>
    <w:qFormat/>
    <w:rsid w:val="00720161"/>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645B-29E3-4112-984B-77059E0A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5986</Characters>
  <Application>Microsoft Office Word</Application>
  <DocSecurity>4</DocSecurity>
  <Lines>49</Lines>
  <Paragraphs>14</Paragraphs>
  <ScaleCrop>false</ScaleCrop>
  <Company>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2023-01-19T16:05:00Z</dcterms:created>
  <dcterms:modified xsi:type="dcterms:W3CDTF">2023-01-19T16:05:00Z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