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34" w:rsidRDefault="007C6F62">
      <w:pPr>
        <w:widowControl/>
        <w:shd w:val="clear" w:color="auto" w:fill="FFFFFF"/>
        <w:wordWrap w:val="0"/>
        <w:jc w:val="center"/>
        <w:outlineLvl w:val="0"/>
        <w:rPr>
          <w:rFonts w:ascii="宋体" w:eastAsia="宋体" w:hAnsi="宋体" w:cs="宋体"/>
          <w:b/>
          <w:bCs/>
          <w:color w:val="1A1A1A"/>
          <w:kern w:val="36"/>
          <w:sz w:val="28"/>
          <w:szCs w:val="28"/>
        </w:rPr>
      </w:pPr>
      <w:r>
        <w:rPr>
          <w:rFonts w:ascii="宋体" w:eastAsia="宋体" w:hAnsi="宋体" w:cs="宋体" w:hint="eastAsia"/>
          <w:b/>
          <w:bCs/>
          <w:color w:val="1A1A1A"/>
          <w:kern w:val="36"/>
          <w:sz w:val="28"/>
          <w:szCs w:val="28"/>
        </w:rPr>
        <w:t>关于融通基金管理有限公司旗下部分基金增加招商银行股份有限公司招赢通为销售平台并</w:t>
      </w:r>
      <w:r w:rsidR="002B4F44">
        <w:rPr>
          <w:rFonts w:ascii="宋体" w:eastAsia="宋体" w:hAnsi="宋体" w:cs="宋体" w:hint="eastAsia"/>
          <w:b/>
          <w:bCs/>
          <w:color w:val="1A1A1A"/>
          <w:kern w:val="36"/>
          <w:sz w:val="28"/>
          <w:szCs w:val="28"/>
        </w:rPr>
        <w:t>开通转换业务及参加</w:t>
      </w:r>
      <w:r>
        <w:rPr>
          <w:rFonts w:ascii="宋体" w:eastAsia="宋体" w:hAnsi="宋体" w:cs="宋体" w:hint="eastAsia"/>
          <w:b/>
          <w:bCs/>
          <w:color w:val="1A1A1A"/>
          <w:kern w:val="36"/>
          <w:sz w:val="28"/>
          <w:szCs w:val="28"/>
        </w:rPr>
        <w:t>费率优惠</w:t>
      </w:r>
      <w:r w:rsidR="002B4F44">
        <w:rPr>
          <w:rFonts w:ascii="宋体" w:eastAsia="宋体" w:hAnsi="宋体" w:cs="宋体" w:hint="eastAsia"/>
          <w:b/>
          <w:bCs/>
          <w:color w:val="1A1A1A"/>
          <w:kern w:val="36"/>
          <w:sz w:val="28"/>
          <w:szCs w:val="28"/>
        </w:rPr>
        <w:t>活动</w:t>
      </w:r>
      <w:r>
        <w:rPr>
          <w:rFonts w:ascii="宋体" w:eastAsia="宋体" w:hAnsi="宋体" w:cs="宋体" w:hint="eastAsia"/>
          <w:b/>
          <w:bCs/>
          <w:color w:val="1A1A1A"/>
          <w:kern w:val="36"/>
          <w:sz w:val="28"/>
          <w:szCs w:val="28"/>
        </w:rPr>
        <w:t>的公告</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根据融通基金管理有限公司（简称：本公司）与招商银行股份有限公司（以下简称“招商银行”）签署的招赢通第三方产品合作协议，自2023年1月20日起，增加招商银行旗下招赢通平台（以下简称“招商银行招赢通”）办理本公司旗下部分基金的销售业务并开通转换业务</w:t>
      </w:r>
      <w:r w:rsidR="002B4F44" w:rsidRPr="002B4F44">
        <w:rPr>
          <w:rFonts w:ascii="宋体" w:eastAsia="宋体" w:hAnsi="宋体" w:cs="宋体" w:hint="eastAsia"/>
          <w:color w:val="1A1A1A"/>
          <w:kern w:val="36"/>
          <w:sz w:val="24"/>
          <w:szCs w:val="24"/>
        </w:rPr>
        <w:t>及参加费率优惠活动</w:t>
      </w:r>
      <w:r>
        <w:rPr>
          <w:rFonts w:ascii="宋体" w:eastAsia="宋体" w:hAnsi="宋体" w:cs="宋体" w:hint="eastAsia"/>
          <w:color w:val="1A1A1A"/>
          <w:kern w:val="36"/>
          <w:sz w:val="24"/>
          <w:szCs w:val="24"/>
        </w:rPr>
        <w:t>。</w:t>
      </w:r>
    </w:p>
    <w:p w:rsidR="00BF6534" w:rsidRDefault="00BF6534">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BF6534" w:rsidRDefault="007C6F62">
      <w:pPr>
        <w:widowControl/>
        <w:shd w:val="clear" w:color="auto" w:fill="FFFFFF"/>
        <w:wordWrap w:val="0"/>
        <w:spacing w:line="360" w:lineRule="auto"/>
        <w:ind w:firstLineChars="200"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一、适用投资者范围</w:t>
      </w:r>
    </w:p>
    <w:p w:rsidR="00BF6534" w:rsidRDefault="007C6F62" w:rsidP="00C30AC8">
      <w:pPr>
        <w:widowControl/>
        <w:shd w:val="clear" w:color="auto" w:fill="FFFFFF"/>
        <w:spacing w:line="360" w:lineRule="auto"/>
        <w:ind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本业务适用于已开通招商银行招赢通业务，依据国家有关法律法规、相关基金的基金合同、招募说明书及相关业务规则的规定可以投资基金的机构投资者。</w:t>
      </w:r>
    </w:p>
    <w:p w:rsidR="00BF6534" w:rsidRDefault="007C6F62">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二、销售的基金和代码</w:t>
      </w:r>
    </w:p>
    <w:tbl>
      <w:tblPr>
        <w:tblStyle w:val="a3"/>
        <w:tblW w:w="0" w:type="auto"/>
        <w:tblLayout w:type="fixed"/>
        <w:tblLook w:val="04A0"/>
      </w:tblPr>
      <w:tblGrid>
        <w:gridCol w:w="5176"/>
        <w:gridCol w:w="3346"/>
      </w:tblGrid>
      <w:tr w:rsidR="00BF6534">
        <w:tc>
          <w:tcPr>
            <w:tcW w:w="5176" w:type="dxa"/>
          </w:tcPr>
          <w:p w:rsidR="00BF6534" w:rsidRDefault="007C6F62">
            <w:pPr>
              <w:widowControl/>
              <w:wordWrap w:val="0"/>
              <w:spacing w:line="360" w:lineRule="auto"/>
              <w:jc w:val="center"/>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基金名称</w:t>
            </w:r>
          </w:p>
        </w:tc>
        <w:tc>
          <w:tcPr>
            <w:tcW w:w="3346" w:type="dxa"/>
          </w:tcPr>
          <w:p w:rsidR="00BF6534" w:rsidRDefault="007C6F62">
            <w:pPr>
              <w:widowControl/>
              <w:wordWrap w:val="0"/>
              <w:spacing w:line="360" w:lineRule="auto"/>
              <w:jc w:val="center"/>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代码</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融通通鑫灵活配置混合型证券投资基金</w:t>
            </w:r>
          </w:p>
        </w:tc>
        <w:tc>
          <w:tcPr>
            <w:tcW w:w="3346" w:type="dxa"/>
          </w:tcPr>
          <w:p w:rsidR="00BF6534" w:rsidRDefault="007C6F62">
            <w:pPr>
              <w:widowControl/>
              <w:shd w:val="clear" w:color="auto" w:fill="FFFFFF"/>
              <w:wordWrap w:val="0"/>
              <w:spacing w:line="360" w:lineRule="auto"/>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001470</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融通新机遇灵活配置混合型证券投资基金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002049（前端）</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融通通盈灵活配置混合型证券投资基金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002415</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融通新消费灵活配置混合型证券投资基金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002605（前端）</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融通创业板指数增强型证券投资基金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004870（C类）</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融通深证成份指数证券投资基金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161612（A类）、004875（C类）</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融通深证100指数证券投资基金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004876（C类）</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融通消费升级混合型证券投资基金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007261</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融通通慧混合型证券投资基金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007387（C类）</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融通量化多策略灵活配置混合型证券投资基金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007527（A类）、007528（C类）</w:t>
            </w:r>
          </w:p>
        </w:tc>
      </w:tr>
      <w:tr w:rsidR="00BF6534">
        <w:tc>
          <w:tcPr>
            <w:tcW w:w="5176" w:type="dxa"/>
          </w:tcPr>
          <w:tbl>
            <w:tblPr>
              <w:tblW w:w="5700" w:type="dxa"/>
              <w:shd w:val="clear" w:color="auto" w:fill="FFFFFF"/>
              <w:tblLayout w:type="fixed"/>
              <w:tblCellMar>
                <w:left w:w="0" w:type="dxa"/>
                <w:right w:w="0" w:type="dxa"/>
              </w:tblCellMar>
              <w:tblLook w:val="04A0"/>
            </w:tblPr>
            <w:tblGrid>
              <w:gridCol w:w="5700"/>
            </w:tblGrid>
            <w:tr w:rsidR="00BF6534">
              <w:trPr>
                <w:trHeight w:val="241"/>
              </w:trPr>
              <w:tc>
                <w:tcPr>
                  <w:tcW w:w="5700" w:type="dxa"/>
                  <w:tcBorders>
                    <w:top w:val="single" w:sz="2" w:space="0" w:color="FFFFFF"/>
                    <w:left w:val="single" w:sz="2" w:space="0" w:color="FFFFFF"/>
                    <w:bottom w:val="single" w:sz="2" w:space="0" w:color="FFFFFF"/>
                    <w:right w:val="single" w:sz="2" w:space="0" w:color="FFFFFF"/>
                  </w:tcBorders>
                  <w:shd w:val="clear" w:color="auto" w:fill="F5FBFF"/>
                  <w:tcMar>
                    <w:left w:w="75" w:type="dxa"/>
                  </w:tcMar>
                  <w:vAlign w:val="center"/>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融通通益混合型证券投资基金</w:t>
                  </w:r>
                </w:p>
              </w:tc>
            </w:tr>
          </w:tbl>
          <w:p w:rsidR="00BF6534" w:rsidRDefault="00BF6534">
            <w:pPr>
              <w:widowControl/>
              <w:shd w:val="clear" w:color="auto" w:fill="FFFFFF"/>
              <w:wordWrap w:val="0"/>
              <w:spacing w:line="360" w:lineRule="auto"/>
              <w:jc w:val="left"/>
              <w:outlineLvl w:val="0"/>
              <w:rPr>
                <w:rFonts w:ascii="宋体" w:eastAsia="宋体" w:hAnsi="宋体" w:cs="宋体"/>
                <w:color w:val="1A1A1A"/>
                <w:kern w:val="36"/>
                <w:sz w:val="24"/>
                <w:szCs w:val="24"/>
              </w:rPr>
            </w:pP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008837</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融通多元收益一年持有期混合型证券投资基金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011816</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融通稳健增长一年持有期混合型证券投资基金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012113（A类）、012114（C类）</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lastRenderedPageBreak/>
              <w:t>融通稳健增利6个月持有期混合型证券投资基金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013985（A类）、013986（C类）</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融通成长30灵活配置混合型证券投资基金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014106（C类）</w:t>
            </w:r>
          </w:p>
        </w:tc>
      </w:tr>
      <w:tr w:rsidR="00BF6534">
        <w:tc>
          <w:tcPr>
            <w:tcW w:w="5176" w:type="dxa"/>
          </w:tcPr>
          <w:tbl>
            <w:tblPr>
              <w:tblW w:w="5700" w:type="dxa"/>
              <w:shd w:val="clear" w:color="auto" w:fill="FFFFFF"/>
              <w:tblLayout w:type="fixed"/>
              <w:tblCellMar>
                <w:left w:w="0" w:type="dxa"/>
                <w:right w:w="0" w:type="dxa"/>
              </w:tblCellMar>
              <w:tblLook w:val="04A0"/>
            </w:tblPr>
            <w:tblGrid>
              <w:gridCol w:w="5700"/>
            </w:tblGrid>
            <w:tr w:rsidR="00BF6534">
              <w:trPr>
                <w:trHeight w:val="241"/>
              </w:trPr>
              <w:tc>
                <w:tcPr>
                  <w:tcW w:w="5700" w:type="dxa"/>
                  <w:tcBorders>
                    <w:top w:val="single" w:sz="2" w:space="0" w:color="FFFFFF"/>
                    <w:left w:val="single" w:sz="2" w:space="0" w:color="FFFFFF"/>
                    <w:bottom w:val="single" w:sz="2" w:space="0" w:color="FFFFFF"/>
                    <w:right w:val="single" w:sz="2" w:space="0" w:color="FFFFFF"/>
                  </w:tcBorders>
                  <w:shd w:val="clear" w:color="auto" w:fill="F5FBFF"/>
                  <w:tcMar>
                    <w:left w:w="75" w:type="dxa"/>
                  </w:tcMar>
                  <w:vAlign w:val="center"/>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融通债券投资基金</w:t>
                  </w:r>
                </w:p>
              </w:tc>
            </w:tr>
          </w:tbl>
          <w:p w:rsidR="00BF6534" w:rsidRDefault="00BF6534">
            <w:pPr>
              <w:widowControl/>
              <w:shd w:val="clear" w:color="auto" w:fill="FFFFFF"/>
              <w:wordWrap w:val="0"/>
              <w:spacing w:line="360" w:lineRule="auto"/>
              <w:jc w:val="left"/>
              <w:outlineLvl w:val="0"/>
              <w:rPr>
                <w:rFonts w:ascii="宋体" w:eastAsia="宋体" w:hAnsi="宋体" w:cs="宋体"/>
                <w:color w:val="1A1A1A"/>
                <w:kern w:val="36"/>
                <w:sz w:val="24"/>
                <w:szCs w:val="24"/>
              </w:rPr>
            </w:pP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161693（C类）</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融通稳信增益6个月持有期混合型证券投资基金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010807（A类）、012525（C类）</w:t>
            </w:r>
          </w:p>
        </w:tc>
      </w:tr>
      <w:tr w:rsidR="00BF6534">
        <w:tc>
          <w:tcPr>
            <w:tcW w:w="517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融通中证中诚信央企信用债指数证券投资基金</w:t>
            </w:r>
          </w:p>
        </w:tc>
        <w:tc>
          <w:tcPr>
            <w:tcW w:w="3346" w:type="dxa"/>
          </w:tcPr>
          <w:p w:rsidR="00BF6534" w:rsidRDefault="007C6F62">
            <w:pPr>
              <w:widowControl/>
              <w:shd w:val="clear" w:color="auto" w:fill="FFFFFF"/>
              <w:wordWrap w:val="0"/>
              <w:spacing w:line="360" w:lineRule="auto"/>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017561（A类）、017562（C类）</w:t>
            </w:r>
          </w:p>
        </w:tc>
      </w:tr>
    </w:tbl>
    <w:p w:rsidR="00BF6534" w:rsidRDefault="007C6F62">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备注：1、</w:t>
      </w:r>
      <w:r w:rsidR="008321FB">
        <w:rPr>
          <w:rFonts w:ascii="宋体" w:eastAsia="宋体" w:hAnsi="宋体" w:cs="宋体" w:hint="eastAsia"/>
          <w:color w:val="1A1A1A"/>
          <w:kern w:val="36"/>
          <w:sz w:val="24"/>
          <w:szCs w:val="24"/>
        </w:rPr>
        <w:t>融</w:t>
      </w:r>
      <w:bookmarkStart w:id="0" w:name="_GoBack"/>
      <w:bookmarkEnd w:id="0"/>
      <w:r w:rsidR="008321FB">
        <w:rPr>
          <w:rFonts w:ascii="宋体" w:eastAsia="宋体" w:hAnsi="宋体" w:cs="宋体" w:hint="eastAsia"/>
          <w:color w:val="1A1A1A"/>
          <w:kern w:val="36"/>
          <w:sz w:val="24"/>
          <w:szCs w:val="24"/>
        </w:rPr>
        <w:t>通通慧混合型证券投资基金C类、</w:t>
      </w:r>
      <w:r>
        <w:rPr>
          <w:rFonts w:ascii="宋体" w:eastAsia="宋体" w:hAnsi="宋体" w:cs="宋体" w:hint="eastAsia"/>
          <w:color w:val="1A1A1A"/>
          <w:kern w:val="36"/>
          <w:sz w:val="24"/>
          <w:szCs w:val="24"/>
        </w:rPr>
        <w:t>融通多元收益一年持有期混合型证券投资基金、融通稳健增长一年持有期混合型证券投资基金、融通稳健增利6个月持有期混合型证券投资基金</w:t>
      </w:r>
      <w:r w:rsidR="008321FB">
        <w:rPr>
          <w:rFonts w:ascii="宋体" w:eastAsia="宋体" w:hAnsi="宋体" w:cs="宋体" w:hint="eastAsia"/>
          <w:color w:val="1A1A1A"/>
          <w:kern w:val="36"/>
          <w:sz w:val="24"/>
          <w:szCs w:val="24"/>
        </w:rPr>
        <w:t>、融通稳信增益6个月持有期混合型证券投资基金</w:t>
      </w:r>
      <w:r>
        <w:rPr>
          <w:rFonts w:ascii="宋体" w:eastAsia="宋体" w:hAnsi="宋体" w:cs="宋体" w:hint="eastAsia"/>
          <w:color w:val="1A1A1A"/>
          <w:kern w:val="36"/>
          <w:sz w:val="24"/>
          <w:szCs w:val="24"/>
        </w:rPr>
        <w:t>暂不开通转换业务；</w:t>
      </w:r>
    </w:p>
    <w:p w:rsidR="00BF6534" w:rsidRDefault="007C6F62">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2、融通中证中诚信央企信用债指数证券投资基金目前处于发行期，后续开通申购和转换请留意相关公告。</w:t>
      </w:r>
    </w:p>
    <w:p w:rsidR="00BF6534" w:rsidRDefault="007C6F62">
      <w:pPr>
        <w:widowControl/>
        <w:shd w:val="clear" w:color="auto" w:fill="FFFFFF"/>
        <w:wordWrap w:val="0"/>
        <w:spacing w:line="360" w:lineRule="auto"/>
        <w:ind w:firstLineChars="200" w:firstLine="480"/>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三、基金开户、申购、赎回、转换等业务</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1、自2023年1月20日起，投资者可通过招商银行招赢通办理上述基金的开户、申购、赎回</w:t>
      </w:r>
      <w:r w:rsidR="008321FB">
        <w:rPr>
          <w:rFonts w:ascii="宋体" w:eastAsia="宋体" w:hAnsi="宋体" w:cs="宋体" w:hint="eastAsia"/>
          <w:color w:val="1A1A1A"/>
          <w:kern w:val="36"/>
          <w:sz w:val="24"/>
          <w:szCs w:val="24"/>
        </w:rPr>
        <w:t>、转换</w:t>
      </w:r>
      <w:r>
        <w:rPr>
          <w:rFonts w:ascii="宋体" w:eastAsia="宋体" w:hAnsi="宋体" w:cs="宋体" w:hint="eastAsia"/>
          <w:color w:val="1A1A1A"/>
          <w:kern w:val="36"/>
          <w:sz w:val="24"/>
          <w:szCs w:val="24"/>
        </w:rPr>
        <w:t>等业务，具体业务流程、办理时间和办理方式以招商银行招赢通的规定为准。</w:t>
      </w:r>
    </w:p>
    <w:p w:rsidR="00BF6534" w:rsidRDefault="007C6F62">
      <w:pPr>
        <w:spacing w:line="360" w:lineRule="auto"/>
        <w:ind w:firstLineChars="200" w:firstLine="480"/>
        <w:rPr>
          <w:rFonts w:ascii="宋体" w:eastAsia="宋体" w:hAnsi="宋体"/>
          <w:sz w:val="24"/>
          <w:szCs w:val="24"/>
        </w:rPr>
      </w:pPr>
      <w:r>
        <w:rPr>
          <w:rFonts w:ascii="宋体" w:eastAsia="宋体" w:hAnsi="宋体" w:cs="宋体" w:hint="eastAsia"/>
          <w:color w:val="1A1A1A"/>
          <w:kern w:val="36"/>
          <w:sz w:val="24"/>
          <w:szCs w:val="24"/>
        </w:rPr>
        <w:t>2、</w:t>
      </w:r>
      <w:r>
        <w:rPr>
          <w:rFonts w:ascii="宋体" w:eastAsia="宋体" w:hAnsi="宋体" w:hint="eastAsia"/>
          <w:sz w:val="24"/>
          <w:szCs w:val="24"/>
        </w:rPr>
        <w:t>投资者通过上述销售机构办理本公司旗下开放式证券投资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融通基金管理有限公司开放式基金业务规则》和各基金相关的临时公告及更新的招募说明书。本公司基金转换业务的解释权归本公司。相关业务规则如有变动，请以本公司最新发布的公告为准。</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hint="eastAsia"/>
          <w:sz w:val="24"/>
          <w:szCs w:val="24"/>
        </w:rPr>
        <w:t>3、投资者欲了解上述各基金的详细情况，请仔细阅读各基金《基金合同》和《招募说明书》（及其更新）等法律文件。</w:t>
      </w:r>
    </w:p>
    <w:p w:rsidR="00BF6534" w:rsidRDefault="007C6F62" w:rsidP="0051113D">
      <w:pPr>
        <w:widowControl/>
        <w:shd w:val="clear" w:color="auto" w:fill="FFFFFF"/>
        <w:wordWrap w:val="0"/>
        <w:spacing w:line="360" w:lineRule="auto"/>
        <w:ind w:firstLineChars="200" w:firstLine="480"/>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lastRenderedPageBreak/>
        <w:t>四、投资者通过招商银行招赢通指定方式办理上述基金</w:t>
      </w:r>
      <w:r w:rsidR="008321FB">
        <w:rPr>
          <w:rFonts w:ascii="宋体" w:eastAsia="宋体" w:hAnsi="宋体" w:cs="宋体" w:hint="eastAsia"/>
          <w:color w:val="1A1A1A"/>
          <w:kern w:val="36"/>
          <w:sz w:val="24"/>
          <w:szCs w:val="24"/>
        </w:rPr>
        <w:t>的前端收费模式</w:t>
      </w:r>
      <w:r>
        <w:rPr>
          <w:rFonts w:ascii="宋体" w:eastAsia="宋体" w:hAnsi="宋体" w:cs="宋体" w:hint="eastAsia"/>
          <w:color w:val="1A1A1A"/>
          <w:kern w:val="36"/>
          <w:sz w:val="24"/>
          <w:szCs w:val="24"/>
        </w:rPr>
        <w:t>的申购业务享有</w:t>
      </w:r>
      <w:r w:rsidR="0051113D">
        <w:rPr>
          <w:rFonts w:ascii="宋体" w:eastAsia="宋体" w:hAnsi="宋体" w:cs="宋体" w:hint="eastAsia"/>
          <w:color w:val="1A1A1A"/>
          <w:kern w:val="36"/>
          <w:sz w:val="24"/>
          <w:szCs w:val="24"/>
        </w:rPr>
        <w:t>优惠，</w:t>
      </w:r>
      <w:r w:rsidR="0051113D" w:rsidRPr="0051113D">
        <w:rPr>
          <w:rFonts w:ascii="宋体" w:eastAsia="宋体" w:hAnsi="宋体" w:cs="宋体" w:hint="eastAsia"/>
          <w:color w:val="1A1A1A"/>
          <w:kern w:val="36"/>
          <w:sz w:val="24"/>
          <w:szCs w:val="24"/>
        </w:rPr>
        <w:t>具体折扣费率以</w:t>
      </w:r>
      <w:r w:rsidR="0051113D">
        <w:rPr>
          <w:rFonts w:ascii="宋体" w:eastAsia="宋体" w:hAnsi="宋体" w:cs="宋体" w:hint="eastAsia"/>
          <w:color w:val="1A1A1A"/>
          <w:kern w:val="36"/>
          <w:sz w:val="24"/>
          <w:szCs w:val="24"/>
        </w:rPr>
        <w:t>招商银行招赢通</w:t>
      </w:r>
      <w:r w:rsidR="0051113D" w:rsidRPr="0051113D">
        <w:rPr>
          <w:rFonts w:ascii="宋体" w:eastAsia="宋体" w:hAnsi="宋体" w:cs="宋体" w:hint="eastAsia"/>
          <w:color w:val="1A1A1A"/>
          <w:kern w:val="36"/>
          <w:sz w:val="24"/>
          <w:szCs w:val="24"/>
        </w:rPr>
        <w:t>活动公告为准。若</w:t>
      </w:r>
      <w:r>
        <w:rPr>
          <w:rFonts w:ascii="宋体" w:eastAsia="宋体" w:hAnsi="宋体" w:cs="宋体" w:hint="eastAsia"/>
          <w:color w:val="1A1A1A"/>
          <w:kern w:val="36"/>
          <w:sz w:val="24"/>
          <w:szCs w:val="24"/>
        </w:rPr>
        <w:t>申购费率为固定费用的，则按原费率执行，不再享有费率折扣。</w:t>
      </w:r>
      <w:r w:rsidR="0051113D" w:rsidRPr="0051113D">
        <w:rPr>
          <w:rFonts w:ascii="宋体" w:eastAsia="宋体" w:hAnsi="宋体" w:cs="宋体" w:hint="eastAsia"/>
          <w:color w:val="1A1A1A"/>
          <w:kern w:val="36"/>
          <w:sz w:val="24"/>
          <w:szCs w:val="24"/>
        </w:rPr>
        <w:t>上述适用基金的原相关费率参见各基金的相关法律文件及本公司发布的最新相关公告。</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五、投资者可通过以下途径了解或咨询相关情况：</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1、招商银行招赢通</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网址：https://fi.cmbchina.com</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联系电话：95555</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2、融通基金管理有限公司</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网址：www.rtfund.com</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联系电话：4008838088</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风险提示：基金投资有风险。本公司承诺以诚实信用、勤勉尽责的原则管理和运用基金资产，但不保证基金一定盈利，也不保证最低收益。投资者投资上述基金时应当认真阅读基金合同、招募说明书、基金产品资料概要等基金法律文件，了解基金的风险收益特征，并根据自身的投资目的、投资期限、投资经验、资产状况等，投资与自身风险承受能力相适应的基金。</w:t>
      </w:r>
    </w:p>
    <w:p w:rsidR="00BF6534" w:rsidRDefault="007C6F62">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特此公告。</w:t>
      </w:r>
    </w:p>
    <w:p w:rsidR="00BF6534" w:rsidRDefault="00BF6534">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p w:rsidR="00BF6534" w:rsidRDefault="007C6F62">
      <w:pPr>
        <w:widowControl/>
        <w:shd w:val="clear" w:color="auto" w:fill="FFFFFF"/>
        <w:wordWrap w:val="0"/>
        <w:spacing w:line="360" w:lineRule="auto"/>
        <w:ind w:firstLine="562"/>
        <w:jc w:val="righ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融通基金管理有限公司</w:t>
      </w:r>
    </w:p>
    <w:p w:rsidR="00BF6534" w:rsidRDefault="007C6F62">
      <w:pPr>
        <w:widowControl/>
        <w:shd w:val="clear" w:color="auto" w:fill="FFFFFF"/>
        <w:wordWrap w:val="0"/>
        <w:spacing w:line="360" w:lineRule="auto"/>
        <w:ind w:firstLine="562"/>
        <w:jc w:val="right"/>
        <w:outlineLvl w:val="0"/>
        <w:rPr>
          <w:rFonts w:ascii="宋体" w:eastAsia="宋体" w:hAnsi="宋体" w:cs="宋体"/>
          <w:color w:val="1A1A1A"/>
          <w:kern w:val="36"/>
          <w:sz w:val="24"/>
          <w:szCs w:val="24"/>
        </w:rPr>
      </w:pPr>
      <w:r>
        <w:rPr>
          <w:rFonts w:ascii="宋体" w:eastAsia="宋体" w:hAnsi="宋体" w:cs="宋体" w:hint="eastAsia"/>
          <w:color w:val="1A1A1A"/>
          <w:kern w:val="36"/>
          <w:sz w:val="24"/>
          <w:szCs w:val="24"/>
        </w:rPr>
        <w:t>2023年1月20日</w:t>
      </w:r>
    </w:p>
    <w:p w:rsidR="00BF6534" w:rsidRDefault="00BF6534">
      <w:pPr>
        <w:widowControl/>
        <w:shd w:val="clear" w:color="auto" w:fill="FFFFFF"/>
        <w:wordWrap w:val="0"/>
        <w:spacing w:line="360" w:lineRule="auto"/>
        <w:ind w:firstLine="562"/>
        <w:jc w:val="left"/>
        <w:outlineLvl w:val="0"/>
        <w:rPr>
          <w:rFonts w:ascii="宋体" w:eastAsia="宋体" w:hAnsi="宋体" w:cs="宋体"/>
          <w:color w:val="1A1A1A"/>
          <w:kern w:val="36"/>
          <w:sz w:val="24"/>
          <w:szCs w:val="24"/>
        </w:rPr>
      </w:pPr>
    </w:p>
    <w:sectPr w:rsidR="00BF6534" w:rsidSect="003651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84" w:rsidRDefault="00F02E84"/>
  </w:endnote>
  <w:endnote w:type="continuationSeparator" w:id="0">
    <w:p w:rsidR="00F02E84" w:rsidRDefault="00F02E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84" w:rsidRDefault="00F02E84"/>
  </w:footnote>
  <w:footnote w:type="continuationSeparator" w:id="0">
    <w:p w:rsidR="00F02E84" w:rsidRDefault="00F02E8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ljZGQzMTc2NDhhODEyYzVkZmFkOGQ2NzljOWEwZjIifQ=="/>
  </w:docVars>
  <w:rsids>
    <w:rsidRoot w:val="00B95AEA"/>
    <w:rsid w:val="00047AFF"/>
    <w:rsid w:val="0022480E"/>
    <w:rsid w:val="002B4F44"/>
    <w:rsid w:val="00365115"/>
    <w:rsid w:val="0051113D"/>
    <w:rsid w:val="00673CE4"/>
    <w:rsid w:val="007C6F62"/>
    <w:rsid w:val="008321FB"/>
    <w:rsid w:val="00AE399C"/>
    <w:rsid w:val="00B95AEA"/>
    <w:rsid w:val="00BF6534"/>
    <w:rsid w:val="00C30AC8"/>
    <w:rsid w:val="00CB36B3"/>
    <w:rsid w:val="00CF16FE"/>
    <w:rsid w:val="00CF40CB"/>
    <w:rsid w:val="00D10BA3"/>
    <w:rsid w:val="00D92BFA"/>
    <w:rsid w:val="00ED1DED"/>
    <w:rsid w:val="00F02E84"/>
    <w:rsid w:val="2FFD5276"/>
    <w:rsid w:val="57D517A5"/>
    <w:rsid w:val="583E3F8A"/>
    <w:rsid w:val="7BDB1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1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651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3651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qFormat/>
    <w:rsid w:val="00365115"/>
    <w:rPr>
      <w:color w:val="0000FF"/>
      <w:u w:val="single"/>
    </w:rPr>
  </w:style>
  <w:style w:type="paragraph" w:customStyle="1" w:styleId="artp">
    <w:name w:val="art_p"/>
    <w:basedOn w:val="a"/>
    <w:qFormat/>
    <w:rsid w:val="0036511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365115"/>
    <w:rPr>
      <w:rFonts w:ascii="宋体" w:eastAsia="宋体" w:hAnsi="宋体" w:cs="宋体"/>
      <w:b/>
      <w:bCs/>
      <w:kern w:val="36"/>
      <w:sz w:val="48"/>
      <w:szCs w:val="48"/>
    </w:rPr>
  </w:style>
  <w:style w:type="paragraph" w:styleId="a5">
    <w:name w:val="Balloon Text"/>
    <w:basedOn w:val="a"/>
    <w:link w:val="Char"/>
    <w:uiPriority w:val="99"/>
    <w:semiHidden/>
    <w:unhideWhenUsed/>
    <w:rsid w:val="00ED1DED"/>
    <w:rPr>
      <w:sz w:val="18"/>
      <w:szCs w:val="18"/>
    </w:rPr>
  </w:style>
  <w:style w:type="character" w:customStyle="1" w:styleId="Char">
    <w:name w:val="批注框文本 Char"/>
    <w:basedOn w:val="a0"/>
    <w:link w:val="a5"/>
    <w:uiPriority w:val="99"/>
    <w:semiHidden/>
    <w:rsid w:val="00ED1DED"/>
    <w:rPr>
      <w:rFonts w:asciiTheme="minorHAnsi" w:eastAsiaTheme="minorEastAsia" w:hAnsiTheme="minorHAnsi" w:cstheme="minorBidi"/>
      <w:kern w:val="2"/>
      <w:sz w:val="18"/>
      <w:szCs w:val="18"/>
    </w:rPr>
  </w:style>
  <w:style w:type="paragraph" w:styleId="a6">
    <w:name w:val="header"/>
    <w:basedOn w:val="a"/>
    <w:link w:val="Char0"/>
    <w:uiPriority w:val="99"/>
    <w:unhideWhenUsed/>
    <w:rsid w:val="002B4F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B4F44"/>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2B4F44"/>
    <w:pPr>
      <w:tabs>
        <w:tab w:val="center" w:pos="4153"/>
        <w:tab w:val="right" w:pos="8306"/>
      </w:tabs>
      <w:snapToGrid w:val="0"/>
      <w:jc w:val="left"/>
    </w:pPr>
    <w:rPr>
      <w:sz w:val="18"/>
      <w:szCs w:val="18"/>
    </w:rPr>
  </w:style>
  <w:style w:type="character" w:customStyle="1" w:styleId="Char1">
    <w:name w:val="页脚 Char"/>
    <w:basedOn w:val="a0"/>
    <w:link w:val="a7"/>
    <w:uiPriority w:val="99"/>
    <w:rsid w:val="002B4F44"/>
    <w:rPr>
      <w:rFonts w:asciiTheme="minorHAnsi" w:eastAsiaTheme="minorEastAsia" w:hAnsiTheme="minorHAnsi" w:cstheme="minorBidi"/>
      <w:kern w:val="2"/>
      <w:sz w:val="18"/>
      <w:szCs w:val="18"/>
    </w:rPr>
  </w:style>
  <w:style w:type="character" w:styleId="a8">
    <w:name w:val="annotation reference"/>
    <w:basedOn w:val="a0"/>
    <w:uiPriority w:val="99"/>
    <w:semiHidden/>
    <w:unhideWhenUsed/>
    <w:rsid w:val="002B4F44"/>
    <w:rPr>
      <w:sz w:val="21"/>
      <w:szCs w:val="21"/>
    </w:rPr>
  </w:style>
  <w:style w:type="paragraph" w:styleId="a9">
    <w:name w:val="annotation text"/>
    <w:basedOn w:val="a"/>
    <w:link w:val="Char2"/>
    <w:uiPriority w:val="99"/>
    <w:semiHidden/>
    <w:unhideWhenUsed/>
    <w:rsid w:val="002B4F44"/>
    <w:pPr>
      <w:jc w:val="left"/>
    </w:pPr>
  </w:style>
  <w:style w:type="character" w:customStyle="1" w:styleId="Char2">
    <w:name w:val="批注文字 Char"/>
    <w:basedOn w:val="a0"/>
    <w:link w:val="a9"/>
    <w:uiPriority w:val="99"/>
    <w:semiHidden/>
    <w:rsid w:val="002B4F44"/>
    <w:rPr>
      <w:rFonts w:asciiTheme="minorHAnsi" w:eastAsiaTheme="minorEastAsia" w:hAnsiTheme="minorHAnsi" w:cstheme="minorBidi"/>
      <w:kern w:val="2"/>
      <w:sz w:val="21"/>
      <w:szCs w:val="22"/>
    </w:rPr>
  </w:style>
  <w:style w:type="paragraph" w:styleId="aa">
    <w:name w:val="annotation subject"/>
    <w:basedOn w:val="a9"/>
    <w:next w:val="a9"/>
    <w:link w:val="Char3"/>
    <w:uiPriority w:val="99"/>
    <w:semiHidden/>
    <w:unhideWhenUsed/>
    <w:rsid w:val="002B4F44"/>
    <w:rPr>
      <w:b/>
      <w:bCs/>
    </w:rPr>
  </w:style>
  <w:style w:type="character" w:customStyle="1" w:styleId="Char3">
    <w:name w:val="批注主题 Char"/>
    <w:basedOn w:val="Char2"/>
    <w:link w:val="aa"/>
    <w:uiPriority w:val="99"/>
    <w:semiHidden/>
    <w:rsid w:val="002B4F44"/>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1622</Characters>
  <Application>Microsoft Office Word</Application>
  <DocSecurity>4</DocSecurity>
  <Lines>13</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韦荣涛</dc:creator>
  <cp:lastModifiedBy>ZHONGM</cp:lastModifiedBy>
  <cp:revision>2</cp:revision>
  <dcterms:created xsi:type="dcterms:W3CDTF">2023-01-19T16:04:00Z</dcterms:created>
  <dcterms:modified xsi:type="dcterms:W3CDTF">2023-01-19T16:04:00Z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5B14D9C7E31545FA85159601F3821C09</vt:lpwstr>
  </property>
</Properties>
</file>