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8B187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4C00C6">
        <w:rPr>
          <w:rFonts w:ascii="仿宋" w:eastAsia="仿宋" w:hAnsi="仿宋" w:hint="eastAsia"/>
          <w:b/>
          <w:color w:val="000000" w:themeColor="text1"/>
          <w:sz w:val="32"/>
          <w:szCs w:val="32"/>
        </w:rPr>
        <w:t>第</w:t>
      </w:r>
      <w:r w:rsidR="0060772A">
        <w:rPr>
          <w:rFonts w:ascii="仿宋" w:eastAsia="仿宋" w:hAnsi="仿宋" w:hint="eastAsia"/>
          <w:b/>
          <w:color w:val="000000" w:themeColor="text1"/>
          <w:sz w:val="32"/>
          <w:szCs w:val="32"/>
        </w:rPr>
        <w:t>4</w:t>
      </w:r>
      <w:r w:rsidR="004C00C6">
        <w:rPr>
          <w:rFonts w:ascii="仿宋" w:eastAsia="仿宋" w:hAnsi="仿宋" w:hint="eastAsia"/>
          <w:b/>
          <w:color w:val="000000" w:themeColor="text1"/>
          <w:sz w:val="32"/>
          <w:szCs w:val="32"/>
        </w:rPr>
        <w:t>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8B1877">
      <w:pPr>
        <w:spacing w:line="540" w:lineRule="exact"/>
        <w:ind w:firstLineChars="50" w:firstLine="160"/>
        <w:jc w:val="center"/>
        <w:rPr>
          <w:rFonts w:ascii="仿宋" w:eastAsia="仿宋" w:hAnsi="仿宋"/>
          <w:b/>
          <w:color w:val="000000" w:themeColor="text1"/>
          <w:sz w:val="32"/>
          <w:szCs w:val="32"/>
        </w:rPr>
        <w:pPrChange w:id="0" w:author="ZHONGM" w:date="2023-01-20T00:02:00Z">
          <w:pPr>
            <w:spacing w:line="540" w:lineRule="exact"/>
            <w:ind w:firstLineChars="50" w:firstLine="160"/>
            <w:jc w:val="center"/>
          </w:pPr>
        </w:pPrChange>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43533C" w:rsidRPr="00A979C5">
        <w:rPr>
          <w:rFonts w:ascii="仿宋_GB2312" w:eastAsia="仿宋_GB2312" w:hAnsi="Arial" w:cs="Arial" w:hint="eastAsia"/>
          <w:color w:val="000000"/>
          <w:kern w:val="0"/>
          <w:sz w:val="28"/>
          <w:szCs w:val="28"/>
        </w:rPr>
        <w:t>季</w:t>
      </w:r>
      <w:r w:rsidR="0090713F" w:rsidRPr="00A979C5">
        <w:rPr>
          <w:rFonts w:ascii="仿宋_GB2312" w:eastAsia="仿宋_GB2312" w:hAnsi="Arial" w:cs="Arial" w:hint="eastAsia"/>
          <w:color w:val="000000"/>
          <w:kern w:val="0"/>
          <w:sz w:val="28"/>
          <w:szCs w:val="28"/>
        </w:rPr>
        <w:t>度报告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60772A">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上证龙头企业交易型开放式指数证券投资基金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华安上证龙头企业交易型开放式指数证券投资基金联接基金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w:t>
      </w:r>
      <w:r w:rsidR="00213495" w:rsidRPr="00C10AE6">
        <w:rPr>
          <w:rFonts w:ascii="仿宋_GB2312" w:eastAsia="仿宋_GB2312" w:hAnsi="Arial" w:cs="Arial" w:hint="eastAsia"/>
          <w:color w:val="000000"/>
          <w:kern w:val="0"/>
          <w:sz w:val="28"/>
          <w:szCs w:val="28"/>
        </w:rPr>
        <w:lastRenderedPageBreak/>
        <w:t>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华安安禧灵活配置混合型证券投资基金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w:t>
      </w:r>
      <w:r w:rsidR="00213495" w:rsidRPr="00C10AE6">
        <w:rPr>
          <w:rFonts w:ascii="仿宋_GB2312" w:eastAsia="仿宋_GB2312" w:hAnsi="Arial" w:cs="Arial" w:hint="eastAsia"/>
          <w:color w:val="000000"/>
          <w:kern w:val="0"/>
          <w:sz w:val="28"/>
          <w:szCs w:val="28"/>
        </w:rPr>
        <w:lastRenderedPageBreak/>
        <w:t>业板50交易型开放式指数证券投资基金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 xml:space="preserve">华安养老目标日期2040年持有期混合型发起式基金中基金(FOF)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华安张江光大园封闭式基础设施证券投资基金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w:t>
      </w:r>
      <w:bookmarkStart w:id="1" w:name="_GoBack"/>
      <w:bookmarkEnd w:id="1"/>
      <w:r w:rsidR="0060772A" w:rsidRPr="0060772A">
        <w:rPr>
          <w:rFonts w:ascii="仿宋_GB2312" w:eastAsia="仿宋_GB2312" w:hAnsi="Arial" w:cs="Arial" w:hint="eastAsia"/>
          <w:color w:val="000000"/>
          <w:kern w:val="0"/>
          <w:sz w:val="28"/>
          <w:szCs w:val="28"/>
        </w:rPr>
        <w:t>、华安添魁债券型证券投资基金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4C00C6" w:rsidRPr="00A979C5">
        <w:rPr>
          <w:rFonts w:ascii="仿宋_GB2312" w:eastAsia="仿宋_GB2312" w:hAnsi="Arial" w:cs="Arial"/>
          <w:color w:val="000000"/>
          <w:kern w:val="0"/>
          <w:sz w:val="28"/>
          <w:szCs w:val="28"/>
        </w:rPr>
        <w:t>2</w:t>
      </w:r>
      <w:r w:rsidR="00F85FE2" w:rsidRPr="00A979C5">
        <w:rPr>
          <w:rFonts w:ascii="仿宋_GB2312" w:eastAsia="仿宋_GB2312" w:hAnsi="Arial" w:cs="Arial" w:hint="eastAsia"/>
          <w:color w:val="000000"/>
          <w:kern w:val="0"/>
          <w:sz w:val="28"/>
          <w:szCs w:val="28"/>
        </w:rPr>
        <w:t>年</w:t>
      </w:r>
      <w:r w:rsidR="004C00C6" w:rsidRPr="00A979C5">
        <w:rPr>
          <w:rFonts w:ascii="仿宋_GB2312" w:eastAsia="仿宋_GB2312" w:hAnsi="Arial" w:cs="Arial" w:hint="eastAsia"/>
          <w:color w:val="000000"/>
          <w:kern w:val="0"/>
          <w:sz w:val="28"/>
          <w:szCs w:val="28"/>
        </w:rPr>
        <w:t>第</w:t>
      </w:r>
      <w:r w:rsidR="0060772A">
        <w:rPr>
          <w:rFonts w:ascii="仿宋_GB2312" w:eastAsia="仿宋_GB2312" w:hAnsi="Arial" w:cs="Arial" w:hint="eastAsia"/>
          <w:color w:val="000000"/>
          <w:kern w:val="0"/>
          <w:sz w:val="28"/>
          <w:szCs w:val="28"/>
        </w:rPr>
        <w:t>4</w:t>
      </w:r>
      <w:r w:rsidR="004C00C6" w:rsidRPr="00A979C5">
        <w:rPr>
          <w:rFonts w:ascii="仿宋_GB2312" w:eastAsia="仿宋_GB2312" w:hAnsi="Arial" w:cs="Arial" w:hint="eastAsia"/>
          <w:color w:val="000000"/>
          <w:kern w:val="0"/>
          <w:sz w:val="28"/>
          <w:szCs w:val="28"/>
        </w:rPr>
        <w:t>季度</w:t>
      </w:r>
      <w:r w:rsidR="001D4D89" w:rsidRPr="00A979C5">
        <w:rPr>
          <w:rFonts w:ascii="仿宋_GB2312" w:eastAsia="仿宋_GB2312" w:hAnsi="Arial" w:cs="Arial" w:hint="eastAsia"/>
          <w:color w:val="000000"/>
          <w:kern w:val="0"/>
          <w:sz w:val="28"/>
          <w:szCs w:val="28"/>
        </w:rPr>
        <w:t>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E0009C">
        <w:rPr>
          <w:rFonts w:ascii="仿宋_GB2312" w:eastAsia="仿宋_GB2312" w:hAnsi="Arial" w:cs="Arial"/>
          <w:color w:val="000000"/>
          <w:kern w:val="0"/>
          <w:sz w:val="28"/>
          <w:szCs w:val="28"/>
        </w:rPr>
        <w:t>1</w:t>
      </w:r>
      <w:r w:rsidR="00BB3501" w:rsidRPr="00A979C5">
        <w:rPr>
          <w:rFonts w:ascii="仿宋_GB2312" w:eastAsia="仿宋_GB2312" w:hAnsi="Arial" w:cs="Arial" w:hint="eastAsia"/>
          <w:color w:val="000000"/>
          <w:kern w:val="0"/>
          <w:sz w:val="28"/>
          <w:szCs w:val="28"/>
        </w:rPr>
        <w:t>月</w:t>
      </w:r>
      <w:r w:rsidR="004C00C6" w:rsidRPr="00A979C5">
        <w:rPr>
          <w:rFonts w:ascii="仿宋_GB2312" w:eastAsia="仿宋_GB2312" w:hAnsi="Arial" w:cs="Arial"/>
          <w:color w:val="000000"/>
          <w:kern w:val="0"/>
          <w:sz w:val="28"/>
          <w:szCs w:val="28"/>
        </w:rPr>
        <w:t>2</w:t>
      </w:r>
      <w:r w:rsidR="0060772A">
        <w:rPr>
          <w:rFonts w:ascii="仿宋_GB2312" w:eastAsia="仿宋_GB2312" w:hAnsi="Arial" w:cs="Arial" w:hint="eastAsia"/>
          <w:color w:val="000000"/>
          <w:kern w:val="0"/>
          <w:sz w:val="28"/>
          <w:szCs w:val="28"/>
        </w:rPr>
        <w:t>0</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E0009C">
        <w:rPr>
          <w:rFonts w:ascii="仿宋_GB2312" w:eastAsia="仿宋_GB2312" w:hAnsi="Arial" w:cs="Arial"/>
          <w:color w:val="000000"/>
          <w:kern w:val="0"/>
          <w:sz w:val="28"/>
          <w:szCs w:val="28"/>
        </w:rPr>
        <w:t>1</w:t>
      </w:r>
      <w:r w:rsidR="0090713F" w:rsidRPr="00A979C5">
        <w:rPr>
          <w:rFonts w:ascii="仿宋_GB2312" w:eastAsia="仿宋_GB2312" w:hAnsi="Arial" w:cs="Arial" w:hint="eastAsia"/>
          <w:color w:val="000000"/>
          <w:kern w:val="0"/>
          <w:sz w:val="28"/>
          <w:szCs w:val="28"/>
        </w:rPr>
        <w:t>月</w:t>
      </w:r>
      <w:r w:rsidR="00E0009C">
        <w:rPr>
          <w:rFonts w:ascii="仿宋_GB2312" w:eastAsia="仿宋_GB2312" w:hAnsi="Arial" w:cs="Arial"/>
          <w:color w:val="000000"/>
          <w:kern w:val="0"/>
          <w:sz w:val="28"/>
          <w:szCs w:val="28"/>
        </w:rPr>
        <w:t>2</w:t>
      </w:r>
      <w:r w:rsidR="0060772A">
        <w:rPr>
          <w:rFonts w:ascii="仿宋_GB2312" w:eastAsia="仿宋_GB2312" w:hAnsi="Arial" w:cs="Arial" w:hint="eastAsia"/>
          <w:color w:val="000000"/>
          <w:kern w:val="0"/>
          <w:sz w:val="28"/>
          <w:szCs w:val="28"/>
        </w:rPr>
        <w:t>0</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7E" w:rsidRDefault="0074617E" w:rsidP="009A149B">
      <w:r>
        <w:separator/>
      </w:r>
    </w:p>
  </w:endnote>
  <w:endnote w:type="continuationSeparator" w:id="0">
    <w:p w:rsidR="0074617E" w:rsidRDefault="0074617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8108B">
        <w:pPr>
          <w:pStyle w:val="a4"/>
          <w:jc w:val="center"/>
        </w:pPr>
        <w:r>
          <w:fldChar w:fldCharType="begin"/>
        </w:r>
        <w:r w:rsidR="00084E7D">
          <w:instrText>PAGE   \* MERGEFORMAT</w:instrText>
        </w:r>
        <w:r>
          <w:fldChar w:fldCharType="separate"/>
        </w:r>
        <w:r w:rsidR="008B1877" w:rsidRPr="008B187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8108B">
        <w:pPr>
          <w:pStyle w:val="a4"/>
          <w:jc w:val="center"/>
        </w:pPr>
        <w:r>
          <w:fldChar w:fldCharType="begin"/>
        </w:r>
        <w:r w:rsidR="00084E7D">
          <w:instrText>PAGE   \* MERGEFORMAT</w:instrText>
        </w:r>
        <w:r>
          <w:fldChar w:fldCharType="separate"/>
        </w:r>
        <w:r w:rsidR="008B1877" w:rsidRPr="008B187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7E" w:rsidRDefault="0074617E" w:rsidP="009A149B">
      <w:r>
        <w:separator/>
      </w:r>
    </w:p>
  </w:footnote>
  <w:footnote w:type="continuationSeparator" w:id="0">
    <w:p w:rsidR="0074617E" w:rsidRDefault="0074617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874"/>
    <w:rsid w:val="0062589F"/>
    <w:rsid w:val="00626EA8"/>
    <w:rsid w:val="00641CEA"/>
    <w:rsid w:val="006420A1"/>
    <w:rsid w:val="0065080E"/>
    <w:rsid w:val="006513E1"/>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1877"/>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6895"/>
    <w:rsid w:val="00E30E3F"/>
    <w:rsid w:val="00E32614"/>
    <w:rsid w:val="00E33250"/>
    <w:rsid w:val="00E3526B"/>
    <w:rsid w:val="00E5059C"/>
    <w:rsid w:val="00E54C06"/>
    <w:rsid w:val="00E5664A"/>
    <w:rsid w:val="00E70DB5"/>
    <w:rsid w:val="00E7407A"/>
    <w:rsid w:val="00E8108B"/>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8E6C-806A-4F8E-8190-654267D3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4089</Characters>
  <Application>Microsoft Office Word</Application>
  <DocSecurity>4</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2023-01-19T16:02:00Z</dcterms:created>
  <dcterms:modified xsi:type="dcterms:W3CDTF">2023-01-19T16:02:00Z</dcterms:modified>
</cp:coreProperties>
</file>