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C9D" w:rsidRDefault="00EC5BFA" w:rsidP="00EC5BFA">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博时基金管理有限公司旗下公募基金</w:t>
      </w:r>
      <w:r>
        <w:rPr>
          <w:rFonts w:ascii="仿宋" w:eastAsia="仿宋" w:hAnsi="仿宋" w:hint="eastAsia"/>
          <w:b/>
          <w:color w:val="000000" w:themeColor="text1"/>
          <w:sz w:val="32"/>
          <w:szCs w:val="32"/>
        </w:rPr>
        <w:t>2022</w:t>
      </w:r>
      <w:r>
        <w:rPr>
          <w:rFonts w:ascii="仿宋" w:eastAsia="仿宋" w:hAnsi="仿宋" w:hint="eastAsia"/>
          <w:b/>
          <w:color w:val="000000" w:themeColor="text1"/>
          <w:sz w:val="32"/>
          <w:szCs w:val="32"/>
        </w:rPr>
        <w:t>年</w:t>
      </w:r>
      <w:r>
        <w:rPr>
          <w:rFonts w:ascii="仿宋" w:eastAsia="仿宋" w:hAnsi="仿宋" w:hint="eastAsia"/>
          <w:b/>
          <w:color w:val="000000" w:themeColor="text1"/>
          <w:sz w:val="32"/>
          <w:szCs w:val="32"/>
        </w:rPr>
        <w:t>四</w:t>
      </w:r>
      <w:r>
        <w:rPr>
          <w:rFonts w:ascii="仿宋" w:eastAsia="仿宋" w:hAnsi="仿宋" w:hint="eastAsia"/>
          <w:b/>
          <w:color w:val="000000" w:themeColor="text1"/>
          <w:sz w:val="32"/>
          <w:szCs w:val="32"/>
        </w:rPr>
        <w:t>季度报告提示性公告</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本公司董事会及董事保证基金季度报告所载资料不存在虚假记载、误导性陈述或重大遗漏，并对其内容的真实性、准确性和完整性承担个别及连带责任。</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博时安盈债券型证券投资基金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博时岁岁增利一年持有期债券型证券投资基金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博时裕益灵活配置混合型证券投资基金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博时内需增长灵活配置混合型证券投资基金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博时双月薪定期支付债券型证券投资基金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博时裕隆灵活配置混合型证券投资基金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博时现金宝货币市场基金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博时天天增利货币市场基金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博时季季享三个月持有期债券型证券投资基金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博时产业新动力灵活配置混合型发起式证券投资基金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博时互联网主题灵活配置混合型证券投资基金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博时沪港深优质企业灵活配置混合型证券投资基金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博时丝路主题股票型证券投资基金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博时上证</w:t>
      </w:r>
      <w:r>
        <w:rPr>
          <w:rFonts w:ascii="仿宋" w:eastAsia="仿宋" w:hAnsi="仿宋" w:hint="eastAsia"/>
          <w:color w:val="000000" w:themeColor="text1"/>
          <w:sz w:val="32"/>
          <w:szCs w:val="32"/>
        </w:rPr>
        <w:t>50</w:t>
      </w:r>
      <w:r>
        <w:rPr>
          <w:rFonts w:ascii="仿宋" w:eastAsia="仿宋" w:hAnsi="仿宋" w:hint="eastAsia"/>
          <w:color w:val="000000" w:themeColor="text1"/>
          <w:sz w:val="32"/>
          <w:szCs w:val="32"/>
        </w:rPr>
        <w:t>交易型开放式指数证券投资基金联接基金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博时中证淘金大数据</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指数型证券投资基金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博时国企改革主题股票型证券投资基金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博时外服货币市场基金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博时新起点灵活配置混合型证券投资基金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博时新策略灵活配置混合型证券投资基金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博时裕嘉纯债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博时裕盈纯债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博时裕瑞纯</w:t>
      </w:r>
      <w:r>
        <w:rPr>
          <w:rFonts w:ascii="仿宋" w:eastAsia="仿宋" w:hAnsi="仿宋" w:hint="eastAsia"/>
          <w:color w:val="000000" w:themeColor="text1"/>
          <w:sz w:val="32"/>
          <w:szCs w:val="32"/>
        </w:rPr>
        <w:t>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博时裕恒纯债债券型证券投资基金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博时裕荣纯债债券型证券投资基金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博时裕泰纯债债券型证券投资基金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博时安誉</w:t>
      </w:r>
      <w:r>
        <w:rPr>
          <w:rFonts w:ascii="仿宋" w:eastAsia="仿宋" w:hAnsi="仿宋" w:hint="eastAsia"/>
          <w:color w:val="000000" w:themeColor="text1"/>
          <w:sz w:val="32"/>
          <w:szCs w:val="32"/>
        </w:rPr>
        <w:t>18</w:t>
      </w:r>
      <w:r>
        <w:rPr>
          <w:rFonts w:ascii="仿宋" w:eastAsia="仿宋" w:hAnsi="仿宋" w:hint="eastAsia"/>
          <w:color w:val="000000" w:themeColor="text1"/>
          <w:sz w:val="32"/>
          <w:szCs w:val="32"/>
        </w:rPr>
        <w:t>个月定期开放债券型证券投资基金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博时新收益灵活配置混合型证券投资基金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博时裕丰纯债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博时裕诚纯债债券型证券投资基金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博时外延增长主题灵活配置混合型证券投资基金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博时裕坤纯债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博时裕乾纯债债券型证券投资基金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博时裕达纯债债券型证券投资基金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博时裕康纯债债券型证券投资基金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博时裕腾纯债债券型证券投资基金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博时安泰</w:t>
      </w:r>
      <w:r>
        <w:rPr>
          <w:rFonts w:ascii="仿宋" w:eastAsia="仿宋" w:hAnsi="仿宋" w:hint="eastAsia"/>
          <w:color w:val="000000" w:themeColor="text1"/>
          <w:sz w:val="32"/>
          <w:szCs w:val="32"/>
        </w:rPr>
        <w:t>18</w:t>
      </w:r>
      <w:r>
        <w:rPr>
          <w:rFonts w:ascii="仿宋" w:eastAsia="仿宋" w:hAnsi="仿宋" w:hint="eastAsia"/>
          <w:color w:val="000000" w:themeColor="text1"/>
          <w:sz w:val="32"/>
          <w:szCs w:val="32"/>
        </w:rPr>
        <w:t>个月定期开放债券型证券投资基金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博时裕安纯债一年定期开放债券型发起式证券投资基金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博时裕新纯债债券型证券投资基金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博时裕景纯债债券型证券投资基金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博时鑫瑞灵活配置混合型证券投资基金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博时裕发纯债债券型证券投资基金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博时裕弘纯债债券型证券投资基金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博时裕泉纯债债券型证券投资基金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博时工业</w:t>
      </w:r>
      <w:r>
        <w:rPr>
          <w:rFonts w:ascii="仿宋" w:eastAsia="仿宋" w:hAnsi="仿宋" w:hint="eastAsia"/>
          <w:color w:val="000000" w:themeColor="text1"/>
          <w:sz w:val="32"/>
          <w:szCs w:val="32"/>
        </w:rPr>
        <w:t>4.0</w:t>
      </w:r>
      <w:r>
        <w:rPr>
          <w:rFonts w:ascii="仿宋" w:eastAsia="仿宋" w:hAnsi="仿宋" w:hint="eastAsia"/>
          <w:color w:val="000000" w:themeColor="text1"/>
          <w:sz w:val="32"/>
          <w:szCs w:val="32"/>
        </w:rPr>
        <w:t>主题股票型证券投资基金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博时黄金交易型开放式证券投资基金联接基金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博时安怡</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个月定期开放债券型证券投资基金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博时裕利纯债债券型证券投资基金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博时裕通纯债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博时裕创纯债债券</w:t>
      </w:r>
      <w:r>
        <w:rPr>
          <w:rFonts w:ascii="仿宋" w:eastAsia="仿宋" w:hAnsi="仿宋" w:hint="eastAsia"/>
          <w:color w:val="000000" w:themeColor="text1"/>
          <w:sz w:val="32"/>
          <w:szCs w:val="32"/>
        </w:rPr>
        <w:t>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博时裕盛纯债债券型证券投资基金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博时景兴纯债债券型证券投资基金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博时聚瑞纯债</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个月定期开放债券型发起式证券投资基金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博时裕顺纯债债券型证券投资基金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博时颐泰混合型证券投资基金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博时安仁一年定期开放债券型发起式证券投资基金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博时聚盈纯债债券型证券投资基金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博时聚润纯债债券型证券投资基金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博时合利货币市场基金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博时裕昂纯债债券型证券投资基金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博时景发纯债债券型证券投资基金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博时鑫源灵活配置混合型证券投资基金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博时富宁纯债债券型证券投资基金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博时聚源纯债债券型证券投资基金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博时合鑫货币市场基金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博时富发纯债债券型证券投资基金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博时智臻纯债债券型证券投资基金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博时安祺</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个月定期开放债券型证券投资基金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博时富祥纯债债券型证券投资基金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博时聚利纯债债券型证券投资基金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博时利发纯债债券型证券投资基金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博时悦楚纯债债券型证券投资基金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博时乐臻定期开放混合型证券投资基金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博时鑫泽灵活配置混合型证券投资基金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博时安诚</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博时臻选纯债债券型证券投资基金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博时富益纯债债券型证券投资基金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博时丰达纯债</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个月定期开放债券型发起式证券投资基金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博时安弘一年定期开放债券型发起式证券投资基金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博时富鑫纯债债券型证券投资基金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博时民丰纯债债券型证券投资基金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博时富华纯债债券型证券投资基金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博时富诚纯债债券型证券投资基金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博时鑫润灵活配置混合型证券投资基金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博时慧选纯债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博时兴盛货币市场基金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博时沪港深价值优选灵活配置混合型证券投资基金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博时裕鹏纯债债券型证券投资基金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博时民泽纯债债券型证券投资基金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博时合惠货币市场基金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博时鑫惠灵活配置混合型证券投资基金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博时富嘉纯债债券型证券投资基金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博时鑫泰灵活配置混合型证券投资基金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博时富瑞纯债债券型证券投资基金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博时兴荣货币市场基金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博时富元纯债债券型证券投资基金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博时广利纯债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博时汇享纯债债券型证券投资基金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博时逆向投资混合型证券投资基金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博时汇智回报灵活配置混合型证券投资基金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博时华盈纯债债券型证券投资基金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博时富和纯债债券型证券投资基金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博时量化平衡混合型证券投资基金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博时新兴消费主题混合型证券投资基金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博时富腾纯债债券型证券投资基金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博时战略新兴产业混合型证券投资基金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博时丰庆纯债债券型证券投资基金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博时军工主题股票型证券投资基金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博时合晶货币市场基金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w:t>
      </w:r>
      <w:r>
        <w:rPr>
          <w:rFonts w:ascii="仿宋" w:eastAsia="仿宋" w:hAnsi="仿宋" w:hint="eastAsia"/>
          <w:color w:val="000000" w:themeColor="text1"/>
          <w:sz w:val="32"/>
          <w:szCs w:val="32"/>
        </w:rPr>
        <w:t>500</w:t>
      </w:r>
      <w:r>
        <w:rPr>
          <w:rFonts w:ascii="仿宋" w:eastAsia="仿宋" w:hAnsi="仿宋" w:hint="eastAsia"/>
          <w:color w:val="000000" w:themeColor="text1"/>
          <w:sz w:val="32"/>
          <w:szCs w:val="32"/>
        </w:rPr>
        <w:t>指数增强型证券投资基金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博时厚泽回报灵活配置混合型证券投资基金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博时富业纯债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博时创新驱动灵活配置混合型证券投资基金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博时富安纯债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博时富乾纯债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博时量化多策略股票型证券投资基金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博时富兴纯债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博时量化价值股票型证券投资基金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博时荣享回报灵活配置定期开放混合型证券投资基金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博时中证央企结构调整交易型开放式指数证券投资基金联接基金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博时富永纯债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博时中债</w:t>
      </w:r>
      <w:r>
        <w:rPr>
          <w:rFonts w:ascii="仿宋" w:eastAsia="仿宋" w:hAnsi="仿宋" w:hint="eastAsia"/>
          <w:color w:val="000000" w:themeColor="text1"/>
          <w:sz w:val="32"/>
          <w:szCs w:val="32"/>
        </w:rPr>
        <w:t>1-3</w:t>
      </w:r>
      <w:r>
        <w:rPr>
          <w:rFonts w:ascii="仿宋" w:eastAsia="仿宋" w:hAnsi="仿宋" w:hint="eastAsia"/>
          <w:color w:val="000000" w:themeColor="text1"/>
          <w:sz w:val="32"/>
          <w:szCs w:val="32"/>
        </w:rPr>
        <w:t>年政策性金融债指数证券投资基金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博时富源纯债债券型证券投资基金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博时汇悦回报混合型证券投资基金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博时中债</w:t>
      </w:r>
      <w:r>
        <w:rPr>
          <w:rFonts w:ascii="仿宋" w:eastAsia="仿宋" w:hAnsi="仿宋" w:hint="eastAsia"/>
          <w:color w:val="000000" w:themeColor="text1"/>
          <w:sz w:val="32"/>
          <w:szCs w:val="32"/>
        </w:rPr>
        <w:t>5-10</w:t>
      </w:r>
      <w:r>
        <w:rPr>
          <w:rFonts w:ascii="仿宋" w:eastAsia="仿宋" w:hAnsi="仿宋" w:hint="eastAsia"/>
          <w:color w:val="000000" w:themeColor="text1"/>
          <w:sz w:val="32"/>
          <w:szCs w:val="32"/>
        </w:rPr>
        <w:t>年农发行债券指数证券投资基金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博时富融纯债债券型证券投资基金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博时颐泽稳健养老目标一年持有期混合型基金中基金（</w:t>
      </w:r>
      <w:r>
        <w:rPr>
          <w:rFonts w:ascii="仿宋" w:eastAsia="仿宋" w:hAnsi="仿宋" w:hint="eastAsia"/>
          <w:color w:val="000000" w:themeColor="text1"/>
          <w:sz w:val="32"/>
          <w:szCs w:val="32"/>
        </w:rPr>
        <w:t>FOF</w:t>
      </w:r>
      <w:r>
        <w:rPr>
          <w:rFonts w:ascii="仿宋" w:eastAsia="仿宋" w:hAnsi="仿宋" w:hint="eastAsia"/>
          <w:color w:val="000000" w:themeColor="text1"/>
          <w:sz w:val="32"/>
          <w:szCs w:val="32"/>
        </w:rPr>
        <w:t>）</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博时中债</w:t>
      </w:r>
      <w:r>
        <w:rPr>
          <w:rFonts w:ascii="仿宋" w:eastAsia="仿宋" w:hAnsi="仿宋" w:hint="eastAsia"/>
          <w:color w:val="000000" w:themeColor="text1"/>
          <w:sz w:val="32"/>
          <w:szCs w:val="32"/>
        </w:rPr>
        <w:t>1-3</w:t>
      </w:r>
      <w:r>
        <w:rPr>
          <w:rFonts w:ascii="仿宋" w:eastAsia="仿宋" w:hAnsi="仿宋" w:hint="eastAsia"/>
          <w:color w:val="000000" w:themeColor="text1"/>
          <w:sz w:val="32"/>
          <w:szCs w:val="32"/>
        </w:rPr>
        <w:t>年国开行债券指数证券投资基金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博时中债</w:t>
      </w:r>
      <w:r>
        <w:rPr>
          <w:rFonts w:ascii="仿宋" w:eastAsia="仿宋" w:hAnsi="仿宋" w:hint="eastAsia"/>
          <w:color w:val="000000" w:themeColor="text1"/>
          <w:sz w:val="32"/>
          <w:szCs w:val="32"/>
        </w:rPr>
        <w:t>3-5</w:t>
      </w:r>
      <w:r>
        <w:rPr>
          <w:rFonts w:ascii="仿宋" w:eastAsia="仿宋" w:hAnsi="仿宋" w:hint="eastAsia"/>
          <w:color w:val="000000" w:themeColor="text1"/>
          <w:sz w:val="32"/>
          <w:szCs w:val="32"/>
        </w:rPr>
        <w:t>年国开行债券指数证券投资基金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博时富丰纯债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博时富淳纯债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博时富乐纯债债券型证券</w:t>
      </w:r>
      <w:r>
        <w:rPr>
          <w:rFonts w:ascii="仿宋" w:eastAsia="仿宋" w:hAnsi="仿宋" w:hint="eastAsia"/>
          <w:color w:val="000000" w:themeColor="text1"/>
          <w:sz w:val="32"/>
          <w:szCs w:val="32"/>
        </w:rPr>
        <w:t>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博时颐泽平衡养老目标三年持有期混合型发起式基金中基金（</w:t>
      </w:r>
      <w:r>
        <w:rPr>
          <w:rFonts w:ascii="仿宋" w:eastAsia="仿宋" w:hAnsi="仿宋" w:hint="eastAsia"/>
          <w:color w:val="000000" w:themeColor="text1"/>
          <w:sz w:val="32"/>
          <w:szCs w:val="32"/>
        </w:rPr>
        <w:t>FOF</w:t>
      </w:r>
      <w:r>
        <w:rPr>
          <w:rFonts w:ascii="仿宋" w:eastAsia="仿宋" w:hAnsi="仿宋" w:hint="eastAsia"/>
          <w:color w:val="000000" w:themeColor="text1"/>
          <w:sz w:val="32"/>
          <w:szCs w:val="32"/>
        </w:rPr>
        <w:t>）</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博时富汇纯债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博时中证央企创新驱动交易型开放式指数证券投资基金联接基金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博时中债</w:t>
      </w:r>
      <w:r>
        <w:rPr>
          <w:rFonts w:ascii="仿宋" w:eastAsia="仿宋" w:hAnsi="仿宋" w:hint="eastAsia"/>
          <w:color w:val="000000" w:themeColor="text1"/>
          <w:sz w:val="32"/>
          <w:szCs w:val="32"/>
        </w:rPr>
        <w:t>3-5</w:t>
      </w:r>
      <w:r>
        <w:rPr>
          <w:rFonts w:ascii="仿宋" w:eastAsia="仿宋" w:hAnsi="仿宋" w:hint="eastAsia"/>
          <w:color w:val="000000" w:themeColor="text1"/>
          <w:sz w:val="32"/>
          <w:szCs w:val="32"/>
        </w:rPr>
        <w:t>年政策性金融债指数证券投资基金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博时富悦纯债债券型证券投资基金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博时富顺纯债债券型证券投资基金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博时稳欣</w:t>
      </w:r>
      <w:r>
        <w:rPr>
          <w:rFonts w:ascii="仿宋" w:eastAsia="仿宋" w:hAnsi="仿宋" w:hint="eastAsia"/>
          <w:color w:val="000000" w:themeColor="text1"/>
          <w:sz w:val="32"/>
          <w:szCs w:val="32"/>
        </w:rPr>
        <w:t>39</w:t>
      </w:r>
      <w:r>
        <w:rPr>
          <w:rFonts w:ascii="仿宋" w:eastAsia="仿宋" w:hAnsi="仿宋" w:hint="eastAsia"/>
          <w:color w:val="000000" w:themeColor="text1"/>
          <w:sz w:val="32"/>
          <w:szCs w:val="32"/>
        </w:rPr>
        <w:t>个月定期开放债券型证券投资基金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博时富添纯债债券型证券投资基金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w:t>
      </w:r>
      <w:r>
        <w:rPr>
          <w:rFonts w:ascii="仿宋" w:eastAsia="仿宋" w:hAnsi="仿宋" w:hint="eastAsia"/>
          <w:color w:val="000000" w:themeColor="text1"/>
          <w:sz w:val="32"/>
          <w:szCs w:val="32"/>
        </w:rPr>
        <w:t>500</w:t>
      </w:r>
      <w:r>
        <w:rPr>
          <w:rFonts w:ascii="仿宋" w:eastAsia="仿宋" w:hAnsi="仿宋" w:hint="eastAsia"/>
          <w:color w:val="000000" w:themeColor="text1"/>
          <w:sz w:val="32"/>
          <w:szCs w:val="32"/>
        </w:rPr>
        <w:t>交易型开放式指数证券投资基金发起式联接基金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博时富信纯债债券型证券投资基金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博时富进纯债一年定期开放债券型发起式证券投资基金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博时稳悦</w:t>
      </w:r>
      <w:r>
        <w:rPr>
          <w:rFonts w:ascii="仿宋" w:eastAsia="仿宋" w:hAnsi="仿宋" w:hint="eastAsia"/>
          <w:color w:val="000000" w:themeColor="text1"/>
          <w:sz w:val="32"/>
          <w:szCs w:val="32"/>
        </w:rPr>
        <w:t>63</w:t>
      </w:r>
      <w:r>
        <w:rPr>
          <w:rFonts w:ascii="仿宋" w:eastAsia="仿宋" w:hAnsi="仿宋" w:hint="eastAsia"/>
          <w:color w:val="000000" w:themeColor="text1"/>
          <w:sz w:val="32"/>
          <w:szCs w:val="32"/>
        </w:rPr>
        <w:t>个月定期开放债券型证券投资基金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博时富洋纯债一年定期开放债券型发起式证券投资基金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博时产业新趋势灵活配置混合型证券投资基金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博时成长优选灵活配置混合型证券投资基金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博时科技创新混合型证券投资基金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博时荣升稳健添利</w:t>
      </w:r>
      <w:r>
        <w:rPr>
          <w:rFonts w:ascii="仿宋" w:eastAsia="仿宋" w:hAnsi="仿宋" w:hint="eastAsia"/>
          <w:color w:val="000000" w:themeColor="text1"/>
          <w:sz w:val="32"/>
          <w:szCs w:val="32"/>
        </w:rPr>
        <w:t>18</w:t>
      </w:r>
      <w:r>
        <w:rPr>
          <w:rFonts w:ascii="仿宋" w:eastAsia="仿宋" w:hAnsi="仿宋" w:hint="eastAsia"/>
          <w:color w:val="000000" w:themeColor="text1"/>
          <w:sz w:val="32"/>
          <w:szCs w:val="32"/>
        </w:rPr>
        <w:t>个月定期开放混合型证券投资基金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博时富灿纯债一年定期开放债券型发起式证券投资基金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博时荣丰回报三年封闭运作灵活配置混合型证券投资基金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博时信用优选债券型证券投资基金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博时富通纯债一年定期开放债券型发起式证券投资基金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博时恒裕</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个月持有期混合型证券投资基金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博时季季乐三个月持有期债券型</w:t>
      </w:r>
      <w:r>
        <w:rPr>
          <w:rFonts w:ascii="仿宋" w:eastAsia="仿宋" w:hAnsi="仿宋" w:hint="eastAsia"/>
          <w:color w:val="000000" w:themeColor="text1"/>
          <w:sz w:val="32"/>
          <w:szCs w:val="32"/>
        </w:rPr>
        <w:t>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博时健康成长主题双周定期可赎回混合型证券投资基金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博时鑫荣稳健混合型证券投资基金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博时富盛纯债一年定期开放债券型发起式证券投资基金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博时研究精选一年持有期灵活配置混合型证券投资基金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博时女性消费主题混合型证券投资基金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博时恒盛一年持有期混合型证券投资基金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博时研究臻选三年持有期灵活配置混合型证券投资基金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博时价值臻选两年持有期灵活配置混合型证券投资基金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博时恒利</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个月持有期债券型证券投资基金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博时荣泰灵活配置混合型证券投资基金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博时金福安一年持有期混合型发起式基金中基金（</w:t>
      </w:r>
      <w:r>
        <w:rPr>
          <w:rFonts w:ascii="仿宋" w:eastAsia="仿宋" w:hAnsi="仿宋" w:hint="eastAsia"/>
          <w:color w:val="000000" w:themeColor="text1"/>
          <w:sz w:val="32"/>
          <w:szCs w:val="32"/>
        </w:rPr>
        <w:t>FOF</w:t>
      </w:r>
      <w:r>
        <w:rPr>
          <w:rFonts w:ascii="仿宋" w:eastAsia="仿宋" w:hAnsi="仿宋" w:hint="eastAsia"/>
          <w:color w:val="000000" w:themeColor="text1"/>
          <w:sz w:val="32"/>
          <w:szCs w:val="32"/>
        </w:rPr>
        <w:t>）</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博时恒荣一年持有期混合型证券投资基金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博时睿祥</w:t>
      </w:r>
      <w:r>
        <w:rPr>
          <w:rFonts w:ascii="仿宋" w:eastAsia="仿宋" w:hAnsi="仿宋" w:hint="eastAsia"/>
          <w:color w:val="000000" w:themeColor="text1"/>
          <w:sz w:val="32"/>
          <w:szCs w:val="32"/>
        </w:rPr>
        <w:t>15</w:t>
      </w:r>
      <w:r>
        <w:rPr>
          <w:rFonts w:ascii="仿宋" w:eastAsia="仿宋" w:hAnsi="仿宋" w:hint="eastAsia"/>
          <w:color w:val="000000" w:themeColor="text1"/>
          <w:sz w:val="32"/>
          <w:szCs w:val="32"/>
        </w:rPr>
        <w:t>个月定期开放混合型证券投资基金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博时双季享六个月持有期债券型证券投资基金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博时消费创新混合型证券投资基金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博时荣华灵活配置混合型证券投资基金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博时产业精选灵活配置混合型证券投资基金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博时鑫康混合型证券投资基金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博时恒进</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个月持有期混合型证券投资基金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博时高端装备混合型证券投资基金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博时恒康一年持有期混合型证券投资基金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博时恒旭一年持有期混合型证券投资基金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博时创业板指数证券投资基金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博时沪深</w:t>
      </w:r>
      <w:r>
        <w:rPr>
          <w:rFonts w:ascii="仿宋" w:eastAsia="仿宋" w:hAnsi="仿宋" w:hint="eastAsia"/>
          <w:color w:val="000000" w:themeColor="text1"/>
          <w:sz w:val="32"/>
          <w:szCs w:val="32"/>
        </w:rPr>
        <w:t>300</w:t>
      </w:r>
      <w:r>
        <w:rPr>
          <w:rFonts w:ascii="仿宋" w:eastAsia="仿宋" w:hAnsi="仿宋" w:hint="eastAsia"/>
          <w:color w:val="000000" w:themeColor="text1"/>
          <w:sz w:val="32"/>
          <w:szCs w:val="32"/>
        </w:rPr>
        <w:t>指数增强发起式证券投资基金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博时成长领航灵活配置混合型证券投资</w:t>
      </w:r>
      <w:r>
        <w:rPr>
          <w:rFonts w:ascii="仿宋" w:eastAsia="仿宋" w:hAnsi="仿宋" w:hint="eastAsia"/>
          <w:color w:val="000000" w:themeColor="text1"/>
          <w:sz w:val="32"/>
          <w:szCs w:val="32"/>
        </w:rPr>
        <w:t>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博时双季鑫</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个月持有期混合型证券投资基金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博时创新经济混合型证券投资基金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博时汇兴回报一年持有期灵活配置混合型证券投资基金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博时恒泽混合型证券投资基金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博时港股通领先趋势混合型证券投资基金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博时汇融回报一年持有期混合型证券投资基金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博时战略新材料主题混合型证券投资基金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博时恒元</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个月持有期混合型证券投资基金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博时创新精选混合型证券投资基金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博时恒悦</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个月持有期混合型证券投资基金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博时产业慧选混合型证券投资基金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博时港股通红利精选混合型发起式证券投资基金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博时成长精选混合型证券投资基金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博时恒兴一年定期开放混合型证券投资基金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博时产业优选灵活配置混合型证券投资基金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博时周期优选混合型证券投资基金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博时恒泰债券型证券投资基金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博时先进制造混合型证券投资基金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博时汇誉回报灵活配置混合型证券投资基金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博时新能源汽车主题混合型证券投资基金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博时数字经济混合型证券投资基金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博时健康生活混合型证券投资基金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博时研究慧选混合型证券投资基金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博时乐享混合型证券投资基金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博时月月享</w:t>
      </w:r>
      <w:r>
        <w:rPr>
          <w:rFonts w:ascii="仿宋" w:eastAsia="仿宋" w:hAnsi="仿宋" w:hint="eastAsia"/>
          <w:color w:val="000000" w:themeColor="text1"/>
          <w:sz w:val="32"/>
          <w:szCs w:val="32"/>
        </w:rPr>
        <w:t>30</w:t>
      </w:r>
      <w:r>
        <w:rPr>
          <w:rFonts w:ascii="仿宋" w:eastAsia="仿宋" w:hAnsi="仿宋" w:hint="eastAsia"/>
          <w:color w:val="000000" w:themeColor="text1"/>
          <w:sz w:val="32"/>
          <w:szCs w:val="32"/>
        </w:rPr>
        <w:t>天持有期短债债券型发起式证券投资基金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博时成长优势混合型证券投资基金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博时恒玺一年持有期混合型证券投资基金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博时汇荣回报灵活配置混合型证券投资基金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博时半导体主题混合型证券投资基金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w:t>
      </w:r>
      <w:r>
        <w:rPr>
          <w:rFonts w:ascii="仿宋" w:eastAsia="仿宋" w:hAnsi="仿宋" w:hint="eastAsia"/>
          <w:color w:val="000000" w:themeColor="text1"/>
          <w:sz w:val="32"/>
          <w:szCs w:val="32"/>
        </w:rPr>
        <w:t>5G</w:t>
      </w:r>
      <w:r>
        <w:rPr>
          <w:rFonts w:ascii="仿宋" w:eastAsia="仿宋" w:hAnsi="仿宋" w:hint="eastAsia"/>
          <w:color w:val="000000" w:themeColor="text1"/>
          <w:sz w:val="32"/>
          <w:szCs w:val="32"/>
        </w:rPr>
        <w:t>产业</w:t>
      </w:r>
      <w:r>
        <w:rPr>
          <w:rFonts w:ascii="仿宋" w:eastAsia="仿宋" w:hAnsi="仿宋" w:hint="eastAsia"/>
          <w:color w:val="000000" w:themeColor="text1"/>
          <w:sz w:val="32"/>
          <w:szCs w:val="32"/>
        </w:rPr>
        <w:t>50</w:t>
      </w:r>
      <w:r>
        <w:rPr>
          <w:rFonts w:ascii="仿宋" w:eastAsia="仿宋" w:hAnsi="仿宋" w:hint="eastAsia"/>
          <w:color w:val="000000" w:themeColor="text1"/>
          <w:sz w:val="32"/>
          <w:szCs w:val="32"/>
        </w:rPr>
        <w:t>交易型开放式指数证券投资基金发起式联接基金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博时中债</w:t>
      </w:r>
      <w:r>
        <w:rPr>
          <w:rFonts w:ascii="仿宋" w:eastAsia="仿宋" w:hAnsi="仿宋" w:hint="eastAsia"/>
          <w:color w:val="000000" w:themeColor="text1"/>
          <w:sz w:val="32"/>
          <w:szCs w:val="32"/>
        </w:rPr>
        <w:t>0-3</w:t>
      </w:r>
      <w:r>
        <w:rPr>
          <w:rFonts w:ascii="仿宋" w:eastAsia="仿宋" w:hAnsi="仿宋" w:hint="eastAsia"/>
          <w:color w:val="000000" w:themeColor="text1"/>
          <w:sz w:val="32"/>
          <w:szCs w:val="32"/>
        </w:rPr>
        <w:t>年国开行债券指数证券投资基金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博时移动互联主题混合型证券投资基金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博时养老目标日期</w:t>
      </w:r>
      <w:r>
        <w:rPr>
          <w:rFonts w:ascii="仿宋" w:eastAsia="仿宋" w:hAnsi="仿宋" w:hint="eastAsia"/>
          <w:color w:val="000000" w:themeColor="text1"/>
          <w:sz w:val="32"/>
          <w:szCs w:val="32"/>
        </w:rPr>
        <w:t>2035</w:t>
      </w:r>
      <w:r>
        <w:rPr>
          <w:rFonts w:ascii="仿宋" w:eastAsia="仿宋" w:hAnsi="仿宋" w:hint="eastAsia"/>
          <w:color w:val="000000" w:themeColor="text1"/>
          <w:sz w:val="32"/>
          <w:szCs w:val="32"/>
        </w:rPr>
        <w:t>三年持有期混合型发起式基金中基金（</w:t>
      </w:r>
      <w:r>
        <w:rPr>
          <w:rFonts w:ascii="仿宋" w:eastAsia="仿宋" w:hAnsi="仿宋" w:hint="eastAsia"/>
          <w:color w:val="000000" w:themeColor="text1"/>
          <w:sz w:val="32"/>
          <w:szCs w:val="32"/>
        </w:rPr>
        <w:t>FOF</w:t>
      </w:r>
      <w:r>
        <w:rPr>
          <w:rFonts w:ascii="仿宋" w:eastAsia="仿宋" w:hAnsi="仿宋" w:hint="eastAsia"/>
          <w:color w:val="000000" w:themeColor="text1"/>
          <w:sz w:val="32"/>
          <w:szCs w:val="32"/>
        </w:rPr>
        <w:t>）</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博时养老目标日期</w:t>
      </w:r>
      <w:r>
        <w:rPr>
          <w:rFonts w:ascii="仿宋" w:eastAsia="仿宋" w:hAnsi="仿宋" w:hint="eastAsia"/>
          <w:color w:val="000000" w:themeColor="text1"/>
          <w:sz w:val="32"/>
          <w:szCs w:val="32"/>
        </w:rPr>
        <w:t>2040</w:t>
      </w:r>
      <w:r>
        <w:rPr>
          <w:rFonts w:ascii="仿宋" w:eastAsia="仿宋" w:hAnsi="仿宋" w:hint="eastAsia"/>
          <w:color w:val="000000" w:themeColor="text1"/>
          <w:sz w:val="32"/>
          <w:szCs w:val="32"/>
        </w:rPr>
        <w:t>五年持有期混合型发起式基金中基金（</w:t>
      </w:r>
      <w:r>
        <w:rPr>
          <w:rFonts w:ascii="仿宋" w:eastAsia="仿宋" w:hAnsi="仿宋" w:hint="eastAsia"/>
          <w:color w:val="000000" w:themeColor="text1"/>
          <w:sz w:val="32"/>
          <w:szCs w:val="32"/>
        </w:rPr>
        <w:t>FOF</w:t>
      </w:r>
      <w:r>
        <w:rPr>
          <w:rFonts w:ascii="仿宋" w:eastAsia="仿宋" w:hAnsi="仿宋" w:hint="eastAsia"/>
          <w:color w:val="000000" w:themeColor="text1"/>
          <w:sz w:val="32"/>
          <w:szCs w:val="32"/>
        </w:rPr>
        <w:t>）</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博时养老目标日期</w:t>
      </w:r>
      <w:r>
        <w:rPr>
          <w:rFonts w:ascii="仿宋" w:eastAsia="仿宋" w:hAnsi="仿宋" w:hint="eastAsia"/>
          <w:color w:val="000000" w:themeColor="text1"/>
          <w:sz w:val="32"/>
          <w:szCs w:val="32"/>
        </w:rPr>
        <w:t>2045</w:t>
      </w:r>
      <w:r>
        <w:rPr>
          <w:rFonts w:ascii="仿宋" w:eastAsia="仿宋" w:hAnsi="仿宋" w:hint="eastAsia"/>
          <w:color w:val="000000" w:themeColor="text1"/>
          <w:sz w:val="32"/>
          <w:szCs w:val="32"/>
        </w:rPr>
        <w:t>五年持有期混合型发起式基金中基金（</w:t>
      </w:r>
      <w:r>
        <w:rPr>
          <w:rFonts w:ascii="仿宋" w:eastAsia="仿宋" w:hAnsi="仿宋" w:hint="eastAsia"/>
          <w:color w:val="000000" w:themeColor="text1"/>
          <w:sz w:val="32"/>
          <w:szCs w:val="32"/>
        </w:rPr>
        <w:t>FOF</w:t>
      </w:r>
      <w:r>
        <w:rPr>
          <w:rFonts w:ascii="仿宋" w:eastAsia="仿宋" w:hAnsi="仿宋" w:hint="eastAsia"/>
          <w:color w:val="000000" w:themeColor="text1"/>
          <w:sz w:val="32"/>
          <w:szCs w:val="32"/>
        </w:rPr>
        <w:t>）</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博时养老目标日期</w:t>
      </w:r>
      <w:r>
        <w:rPr>
          <w:rFonts w:ascii="仿宋" w:eastAsia="仿宋" w:hAnsi="仿宋" w:hint="eastAsia"/>
          <w:color w:val="000000" w:themeColor="text1"/>
          <w:sz w:val="32"/>
          <w:szCs w:val="32"/>
        </w:rPr>
        <w:t>2050</w:t>
      </w:r>
      <w:r>
        <w:rPr>
          <w:rFonts w:ascii="仿宋" w:eastAsia="仿宋" w:hAnsi="仿宋" w:hint="eastAsia"/>
          <w:color w:val="000000" w:themeColor="text1"/>
          <w:sz w:val="32"/>
          <w:szCs w:val="32"/>
        </w:rPr>
        <w:t>五年持有期混合型发起式基金中基金（</w:t>
      </w:r>
      <w:r>
        <w:rPr>
          <w:rFonts w:ascii="仿宋" w:eastAsia="仿宋" w:hAnsi="仿宋" w:hint="eastAsia"/>
          <w:color w:val="000000" w:themeColor="text1"/>
          <w:sz w:val="32"/>
          <w:szCs w:val="32"/>
        </w:rPr>
        <w:t>FOF</w:t>
      </w:r>
      <w:r>
        <w:rPr>
          <w:rFonts w:ascii="仿宋" w:eastAsia="仿宋" w:hAnsi="仿宋" w:hint="eastAsia"/>
          <w:color w:val="000000" w:themeColor="text1"/>
          <w:sz w:val="32"/>
          <w:szCs w:val="32"/>
        </w:rPr>
        <w:t>）</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博时双月享</w:t>
      </w:r>
      <w:r>
        <w:rPr>
          <w:rFonts w:ascii="仿宋" w:eastAsia="仿宋" w:hAnsi="仿宋" w:hint="eastAsia"/>
          <w:color w:val="000000" w:themeColor="text1"/>
          <w:sz w:val="32"/>
          <w:szCs w:val="32"/>
        </w:rPr>
        <w:t>60</w:t>
      </w:r>
      <w:r>
        <w:rPr>
          <w:rFonts w:ascii="仿宋" w:eastAsia="仿宋" w:hAnsi="仿宋" w:hint="eastAsia"/>
          <w:color w:val="000000" w:themeColor="text1"/>
          <w:sz w:val="32"/>
          <w:szCs w:val="32"/>
        </w:rPr>
        <w:t>天滚动持</w:t>
      </w:r>
      <w:r>
        <w:rPr>
          <w:rFonts w:ascii="仿宋" w:eastAsia="仿宋" w:hAnsi="仿宋" w:hint="eastAsia"/>
          <w:color w:val="000000" w:themeColor="text1"/>
          <w:sz w:val="32"/>
          <w:szCs w:val="32"/>
        </w:rPr>
        <w:t>有债券型证券投资基金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博时新能源主题混合型证券投资基金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博时博盈稳健</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个月持有期混合型证券投资基金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博时恒盈稳健一年持有期混合型证券投资基金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博时核心资产精选混合型证券投资基金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博时恒润</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个月持有期混合型证券投资基金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博时凤凰领航混合型证券投资基金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博时智选量化多因子股票型证券投资基金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博时稳益</w:t>
      </w:r>
      <w:r>
        <w:rPr>
          <w:rFonts w:ascii="仿宋" w:eastAsia="仿宋" w:hAnsi="仿宋" w:hint="eastAsia"/>
          <w:color w:val="000000" w:themeColor="text1"/>
          <w:sz w:val="32"/>
          <w:szCs w:val="32"/>
        </w:rPr>
        <w:t>9</w:t>
      </w:r>
      <w:r>
        <w:rPr>
          <w:rFonts w:ascii="仿宋" w:eastAsia="仿宋" w:hAnsi="仿宋" w:hint="eastAsia"/>
          <w:color w:val="000000" w:themeColor="text1"/>
          <w:sz w:val="32"/>
          <w:szCs w:val="32"/>
        </w:rPr>
        <w:t>个月持有期混合型证券投资基金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博时优质鑫选一年持有期混合型证券投资基金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博时时代消费混合型证券投资基金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博时富恒纯债一年定期开放债券型发起式证券投资基金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博时富璟纯债一年定期开放债券型证券投资基金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博时成长回报混合型证券投资基金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博时中证科创创业</w:t>
      </w:r>
      <w:r>
        <w:rPr>
          <w:rFonts w:ascii="仿宋" w:eastAsia="仿宋" w:hAnsi="仿宋" w:hint="eastAsia"/>
          <w:color w:val="000000" w:themeColor="text1"/>
          <w:sz w:val="32"/>
          <w:szCs w:val="32"/>
        </w:rPr>
        <w:t>50</w:t>
      </w:r>
      <w:r>
        <w:rPr>
          <w:rFonts w:ascii="仿宋" w:eastAsia="仿宋" w:hAnsi="仿宋" w:hint="eastAsia"/>
          <w:color w:val="000000" w:themeColor="text1"/>
          <w:sz w:val="32"/>
          <w:szCs w:val="32"/>
        </w:rPr>
        <w:t>交易型开放式指数证券投资基金发起式联接基金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博时品质生活混合型证券投资基金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博时浦惠一年持有期混合型证券投资基金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博时研究优享混合型证券投资基金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博时专精特新主题混合型证券投资基金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博时恒生医疗保健交易型开放式指数证券投资基金发起式联接基金</w:t>
      </w:r>
      <w:r>
        <w:rPr>
          <w:rFonts w:ascii="仿宋" w:eastAsia="仿宋" w:hAnsi="仿宋" w:hint="eastAsia"/>
          <w:color w:val="000000" w:themeColor="text1"/>
          <w:sz w:val="32"/>
          <w:szCs w:val="32"/>
        </w:rPr>
        <w:t>(QDII)</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博时恒生科技交易型开放式指数证券投资基金发起式联接基金（</w:t>
      </w:r>
      <w:r>
        <w:rPr>
          <w:rFonts w:ascii="仿宋" w:eastAsia="仿宋" w:hAnsi="仿宋" w:hint="eastAsia"/>
          <w:color w:val="000000" w:themeColor="text1"/>
          <w:sz w:val="32"/>
          <w:szCs w:val="32"/>
        </w:rPr>
        <w:t>QDII</w:t>
      </w:r>
      <w:r>
        <w:rPr>
          <w:rFonts w:ascii="仿宋" w:eastAsia="仿宋" w:hAnsi="仿宋" w:hint="eastAsia"/>
          <w:color w:val="000000" w:themeColor="text1"/>
          <w:sz w:val="32"/>
          <w:szCs w:val="32"/>
        </w:rPr>
        <w:t>）</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博时恒鑫稳健一年持有期混合型证券投资基金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博时成长臻选混合型证券投资基金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博时恒生港股通高股息率交易型开放式指数证券投资基金发起式联接基金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博时恒瑞一年封闭运作混合型证券投资基金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博时回报严选混合型证券投资基金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博时时代领航混合型证券投资基金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博时恒乐债券型证券投资基金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博时研究回报混合型证券投资基金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博时远见回报混合型证券投资基金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博时恒益稳健一年持有期混合型证券投资基金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博时均衡回报混合型证券投资基金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博时双季乐六个月持有期债券型证券投资基金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博时富鸿金融债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博时四月享</w:t>
      </w:r>
      <w:r>
        <w:rPr>
          <w:rFonts w:ascii="仿宋" w:eastAsia="仿宋" w:hAnsi="仿宋" w:hint="eastAsia"/>
          <w:color w:val="000000" w:themeColor="text1"/>
          <w:sz w:val="32"/>
          <w:szCs w:val="32"/>
        </w:rPr>
        <w:t>120</w:t>
      </w:r>
      <w:r>
        <w:rPr>
          <w:rFonts w:ascii="仿宋" w:eastAsia="仿宋" w:hAnsi="仿宋" w:hint="eastAsia"/>
          <w:color w:val="000000" w:themeColor="text1"/>
          <w:sz w:val="32"/>
          <w:szCs w:val="32"/>
        </w:rPr>
        <w:t>天持有期债券型证券投资基金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博时优享回报混合型证券投资基金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博时月月乐同业存单</w:t>
      </w:r>
      <w:r>
        <w:rPr>
          <w:rFonts w:ascii="仿宋" w:eastAsia="仿宋" w:hAnsi="仿宋" w:hint="eastAsia"/>
          <w:color w:val="000000" w:themeColor="text1"/>
          <w:sz w:val="32"/>
          <w:szCs w:val="32"/>
        </w:rPr>
        <w:t>30</w:t>
      </w:r>
      <w:r>
        <w:rPr>
          <w:rFonts w:ascii="仿宋" w:eastAsia="仿宋" w:hAnsi="仿宋" w:hint="eastAsia"/>
          <w:color w:val="000000" w:themeColor="text1"/>
          <w:sz w:val="32"/>
          <w:szCs w:val="32"/>
        </w:rPr>
        <w:t>天持有期混合型证券投资基金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博时优质精选混合型证券投资基金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博时富尊纯债一年定期开放债券型发起式证券投资基金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博时中证光伏产业指数证券投资基金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博时纳斯达克</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指数型发起式证券投资基金（</w:t>
      </w:r>
      <w:r>
        <w:rPr>
          <w:rFonts w:ascii="仿宋" w:eastAsia="仿宋" w:hAnsi="仿宋" w:hint="eastAsia"/>
          <w:color w:val="000000" w:themeColor="text1"/>
          <w:sz w:val="32"/>
          <w:szCs w:val="32"/>
        </w:rPr>
        <w:t>QDII</w:t>
      </w:r>
      <w:r>
        <w:rPr>
          <w:rFonts w:ascii="仿宋" w:eastAsia="仿宋" w:hAnsi="仿宋" w:hint="eastAsia"/>
          <w:color w:val="000000" w:themeColor="text1"/>
          <w:sz w:val="32"/>
          <w:szCs w:val="32"/>
        </w:rPr>
        <w:t>）</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博时卓远成长一年持有期股票型证券投资基金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博时稳健优选三个月持有期混合型基金中基金（</w:t>
      </w:r>
      <w:r>
        <w:rPr>
          <w:rFonts w:ascii="仿宋" w:eastAsia="仿宋" w:hAnsi="仿宋" w:hint="eastAsia"/>
          <w:color w:val="000000" w:themeColor="text1"/>
          <w:sz w:val="32"/>
          <w:szCs w:val="32"/>
        </w:rPr>
        <w:t>FOF</w:t>
      </w:r>
      <w:r>
        <w:rPr>
          <w:rFonts w:ascii="仿宋" w:eastAsia="仿宋" w:hAnsi="仿宋" w:hint="eastAsia"/>
          <w:color w:val="000000" w:themeColor="text1"/>
          <w:sz w:val="32"/>
          <w:szCs w:val="32"/>
        </w:rPr>
        <w:t>）</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博时价值增长证券投资基金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博时裕富沪深</w:t>
      </w:r>
      <w:r>
        <w:rPr>
          <w:rFonts w:ascii="仿宋" w:eastAsia="仿宋" w:hAnsi="仿宋" w:hint="eastAsia"/>
          <w:color w:val="000000" w:themeColor="text1"/>
          <w:sz w:val="32"/>
          <w:szCs w:val="32"/>
        </w:rPr>
        <w:t>300</w:t>
      </w:r>
      <w:r>
        <w:rPr>
          <w:rFonts w:ascii="仿宋" w:eastAsia="仿宋" w:hAnsi="仿宋" w:hint="eastAsia"/>
          <w:color w:val="000000" w:themeColor="text1"/>
          <w:sz w:val="32"/>
          <w:szCs w:val="32"/>
        </w:rPr>
        <w:t>指数证券投资基金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博时现金收益证券投资基金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博时精选混合型证券投资基金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博时稳定价值债券投资基金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博时平衡配置混合型证券投资基金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博时第三产业成长混合型证券投资基金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博时新兴成长混合型证券投资基金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w:t>
      </w:r>
      <w:r>
        <w:rPr>
          <w:rFonts w:ascii="仿宋" w:eastAsia="仿宋" w:hAnsi="仿宋" w:hint="eastAsia"/>
          <w:color w:val="000000" w:themeColor="text1"/>
          <w:sz w:val="32"/>
          <w:szCs w:val="32"/>
        </w:rPr>
        <w:t>特许价值混合型证券投资基金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博时信用债券投资基金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博时策略灵活配置混合型证券投资基金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博时上证超级大盘交易型开放式指数证券投资基金联接基金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博时创业成长混合型证券投资基金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博时大中华亚太精选股票证券投资基金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博时宏观回报债券型证券投资基金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博时行业轮动混合型证券投资基金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博时转债增强债券型证券投资基金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博时抗通胀增强回报证券投资基金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博时创业板交易型开放式指数证券投资基金联接基金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博时回报灵活配置混合型证券投资基金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博时天颐债券型证券投资基金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博时上证自然资源交易型开放式指数证券投资基金联接基金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博时标普</w:t>
      </w:r>
      <w:r>
        <w:rPr>
          <w:rFonts w:ascii="仿宋" w:eastAsia="仿宋" w:hAnsi="仿宋" w:hint="eastAsia"/>
          <w:color w:val="000000" w:themeColor="text1"/>
          <w:sz w:val="32"/>
          <w:szCs w:val="32"/>
        </w:rPr>
        <w:t>500</w:t>
      </w:r>
      <w:r>
        <w:rPr>
          <w:rFonts w:ascii="仿宋" w:eastAsia="仿宋" w:hAnsi="仿宋" w:hint="eastAsia"/>
          <w:color w:val="000000" w:themeColor="text1"/>
          <w:sz w:val="32"/>
          <w:szCs w:val="32"/>
        </w:rPr>
        <w:t>交易型开放式指数证券投资基金联接基金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博时医疗保健行业混合型证券投资基金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博时信用债纯债债券型证券投资基金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博时亚洲票息收益债券型证券投资基金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博时价值增长贰号证券投资基金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博时中证成渝地区双城经济圈成份交易型开放式指数证券投资基金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博时中债</w:t>
      </w:r>
      <w:r>
        <w:rPr>
          <w:rFonts w:ascii="仿宋" w:eastAsia="仿宋" w:hAnsi="仿宋" w:hint="eastAsia"/>
          <w:color w:val="000000" w:themeColor="text1"/>
          <w:sz w:val="32"/>
          <w:szCs w:val="32"/>
        </w:rPr>
        <w:t>0-3</w:t>
      </w:r>
      <w:r>
        <w:rPr>
          <w:rFonts w:ascii="仿宋" w:eastAsia="仿宋" w:hAnsi="仿宋" w:hint="eastAsia"/>
          <w:color w:val="000000" w:themeColor="text1"/>
          <w:sz w:val="32"/>
          <w:szCs w:val="32"/>
        </w:rPr>
        <w:t>年国开行债券交易型开放式指数证券投资基金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博时国证龙头家电交易型开放式指数证券投资基金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博时恒生科技交易型开放式指数证券投资基金</w:t>
      </w:r>
      <w:r>
        <w:rPr>
          <w:rFonts w:ascii="仿宋" w:eastAsia="仿宋" w:hAnsi="仿宋" w:hint="eastAsia"/>
          <w:color w:val="000000" w:themeColor="text1"/>
          <w:sz w:val="32"/>
          <w:szCs w:val="32"/>
        </w:rPr>
        <w:t>(QDII)</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博时中证湖北新旧动能转换交易型开放式指数证券投资基金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w:t>
      </w:r>
      <w:r>
        <w:rPr>
          <w:rFonts w:ascii="仿宋" w:eastAsia="仿宋" w:hAnsi="仿宋" w:hint="eastAsia"/>
          <w:color w:val="000000" w:themeColor="text1"/>
          <w:sz w:val="32"/>
          <w:szCs w:val="32"/>
        </w:rPr>
        <w:t>5G</w:t>
      </w:r>
      <w:r>
        <w:rPr>
          <w:rFonts w:ascii="仿宋" w:eastAsia="仿宋" w:hAnsi="仿宋" w:hint="eastAsia"/>
          <w:color w:val="000000" w:themeColor="text1"/>
          <w:sz w:val="32"/>
          <w:szCs w:val="32"/>
        </w:rPr>
        <w:t>产业</w:t>
      </w:r>
      <w:r>
        <w:rPr>
          <w:rFonts w:ascii="仿宋" w:eastAsia="仿宋" w:hAnsi="仿宋" w:hint="eastAsia"/>
          <w:color w:val="000000" w:themeColor="text1"/>
          <w:sz w:val="32"/>
          <w:szCs w:val="32"/>
        </w:rPr>
        <w:t>50</w:t>
      </w:r>
      <w:r>
        <w:rPr>
          <w:rFonts w:ascii="仿宋" w:eastAsia="仿宋" w:hAnsi="仿宋" w:hint="eastAsia"/>
          <w:color w:val="000000" w:themeColor="text1"/>
          <w:sz w:val="32"/>
          <w:szCs w:val="32"/>
        </w:rPr>
        <w:t>交易型开放式指数证券投资基金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博时中证新能源汽车交易型开放式指数证券投资基金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博时中证医药</w:t>
      </w:r>
      <w:r>
        <w:rPr>
          <w:rFonts w:ascii="仿宋" w:eastAsia="仿宋" w:hAnsi="仿宋" w:hint="eastAsia"/>
          <w:color w:val="000000" w:themeColor="text1"/>
          <w:sz w:val="32"/>
          <w:szCs w:val="32"/>
        </w:rPr>
        <w:t>50</w:t>
      </w:r>
      <w:r>
        <w:rPr>
          <w:rFonts w:ascii="仿宋" w:eastAsia="仿宋" w:hAnsi="仿宋" w:hint="eastAsia"/>
          <w:color w:val="000000" w:themeColor="text1"/>
          <w:sz w:val="32"/>
          <w:szCs w:val="32"/>
        </w:rPr>
        <w:t>交易型开放式指数证券投资基金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博时创业板交易型开放式指数证券投资基金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博时黄金交易型开放式证券投资基金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w:t>
      </w:r>
      <w:r>
        <w:rPr>
          <w:rFonts w:ascii="仿宋" w:eastAsia="仿宋" w:hAnsi="仿宋" w:hint="eastAsia"/>
          <w:color w:val="000000" w:themeColor="text1"/>
          <w:sz w:val="32"/>
          <w:szCs w:val="32"/>
        </w:rPr>
        <w:t>500</w:t>
      </w:r>
      <w:r>
        <w:rPr>
          <w:rFonts w:ascii="仿宋" w:eastAsia="仿宋" w:hAnsi="仿宋" w:hint="eastAsia"/>
          <w:color w:val="000000" w:themeColor="text1"/>
          <w:sz w:val="32"/>
          <w:szCs w:val="32"/>
        </w:rPr>
        <w:t>交易型开放式指数证券投资基金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博时主题行业混合型证券投资基金（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博时卓越品牌混合型证券投资基金（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博时稳健回报债券型证券投资基金（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博时安丰</w:t>
      </w:r>
      <w:r>
        <w:rPr>
          <w:rFonts w:ascii="仿宋" w:eastAsia="仿宋" w:hAnsi="仿宋" w:hint="eastAsia"/>
          <w:color w:val="000000" w:themeColor="text1"/>
          <w:sz w:val="32"/>
          <w:szCs w:val="32"/>
        </w:rPr>
        <w:t>18</w:t>
      </w:r>
      <w:r>
        <w:rPr>
          <w:rFonts w:ascii="仿宋" w:eastAsia="仿宋" w:hAnsi="仿宋" w:hint="eastAsia"/>
          <w:color w:val="000000" w:themeColor="text1"/>
          <w:sz w:val="32"/>
          <w:szCs w:val="32"/>
        </w:rPr>
        <w:t>个月定期开放债券型证券投资基金（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博时中证全指证券公司指数证券投资基金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博时中证银行指数证券投资基金（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博时睿远事件驱动灵活配置混合型证券投资基金</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博时睿利事件驱动灵活配置混合型证券投资基金（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博时弘泰定期开放混合型证券投资基金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博时优势企业灵活配置混合型证券投资基金（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博时研究优选</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年封闭运作灵活配置混合型证券投资基金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博时创业板两年定期开放混合型证券投资基金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博时招商蛇口产业园封闭式基础设施证券投资基金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博时科创主题灵活配置混合型证券投资基金（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博时安康</w:t>
      </w:r>
      <w:r>
        <w:rPr>
          <w:rFonts w:ascii="仿宋" w:eastAsia="仿宋" w:hAnsi="仿宋" w:hint="eastAsia"/>
          <w:color w:val="000000" w:themeColor="text1"/>
          <w:sz w:val="32"/>
          <w:szCs w:val="32"/>
        </w:rPr>
        <w:t>18</w:t>
      </w:r>
      <w:r>
        <w:rPr>
          <w:rFonts w:ascii="仿宋" w:eastAsia="仿宋" w:hAnsi="仿宋" w:hint="eastAsia"/>
          <w:color w:val="000000" w:themeColor="text1"/>
          <w:sz w:val="32"/>
          <w:szCs w:val="32"/>
        </w:rPr>
        <w:t>个月定期开放债券型证券投资基金（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博时科创板三年定期开放混合型证券投资基金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上证超级大盘交易型开放式指数证券投资基金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上证自然资源交易型开放式指数证券投资基金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博时上证</w:t>
      </w:r>
      <w:r>
        <w:rPr>
          <w:rFonts w:ascii="仿宋" w:eastAsia="仿宋" w:hAnsi="仿宋" w:hint="eastAsia"/>
          <w:color w:val="000000" w:themeColor="text1"/>
          <w:sz w:val="32"/>
          <w:szCs w:val="32"/>
        </w:rPr>
        <w:t>50</w:t>
      </w:r>
      <w:r>
        <w:rPr>
          <w:rFonts w:ascii="仿宋" w:eastAsia="仿宋" w:hAnsi="仿宋" w:hint="eastAsia"/>
          <w:color w:val="000000" w:themeColor="text1"/>
          <w:sz w:val="32"/>
          <w:szCs w:val="32"/>
        </w:rPr>
        <w:t>交易型开放式指数证券投资基金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博时中证可转债及可交换债券交易型开放式指数证券投资基金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博时保证金实时交易型货币市场基金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博时中证央企结构调整交易型开放式指数证券投资基金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博时恒生医疗保健交易型开放式指数证券投资基金（</w:t>
      </w:r>
      <w:r>
        <w:rPr>
          <w:rFonts w:ascii="仿宋" w:eastAsia="仿宋" w:hAnsi="仿宋" w:hint="eastAsia"/>
          <w:color w:val="000000" w:themeColor="text1"/>
          <w:sz w:val="32"/>
          <w:szCs w:val="32"/>
        </w:rPr>
        <w:t>QDII</w:t>
      </w:r>
      <w:r>
        <w:rPr>
          <w:rFonts w:ascii="仿宋" w:eastAsia="仿宋" w:hAnsi="仿宋" w:hint="eastAsia"/>
          <w:color w:val="000000" w:themeColor="text1"/>
          <w:sz w:val="32"/>
          <w:szCs w:val="32"/>
        </w:rPr>
        <w:t>）</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博时中证全球中国教育主题交易型开放式指数证券投资基金</w:t>
      </w:r>
      <w:r>
        <w:rPr>
          <w:rFonts w:ascii="仿宋" w:eastAsia="仿宋" w:hAnsi="仿宋" w:hint="eastAsia"/>
          <w:color w:val="000000" w:themeColor="text1"/>
          <w:sz w:val="32"/>
          <w:szCs w:val="32"/>
        </w:rPr>
        <w:t>(QDII)</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博时标普</w:t>
      </w:r>
      <w:r>
        <w:rPr>
          <w:rFonts w:ascii="仿宋" w:eastAsia="仿宋" w:hAnsi="仿宋" w:hint="eastAsia"/>
          <w:color w:val="000000" w:themeColor="text1"/>
          <w:sz w:val="32"/>
          <w:szCs w:val="32"/>
        </w:rPr>
        <w:t>500</w:t>
      </w:r>
      <w:r>
        <w:rPr>
          <w:rFonts w:ascii="仿宋" w:eastAsia="仿宋" w:hAnsi="仿宋" w:hint="eastAsia"/>
          <w:color w:val="000000" w:themeColor="text1"/>
          <w:sz w:val="32"/>
          <w:szCs w:val="32"/>
        </w:rPr>
        <w:t>交易型开放式指数证券投资基金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博时恒生港股通高股息率交易型开放式指数证券投资基金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博时中证港股通消费主题交易型开放式指数证券投资基金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博时中证可持续发</w:t>
      </w:r>
      <w:r>
        <w:rPr>
          <w:rFonts w:ascii="仿宋" w:eastAsia="仿宋" w:hAnsi="仿宋" w:hint="eastAsia"/>
          <w:color w:val="000000" w:themeColor="text1"/>
          <w:sz w:val="32"/>
          <w:szCs w:val="32"/>
        </w:rPr>
        <w:t>展</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交易型开放式指数证券投资基金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博时沪深</w:t>
      </w:r>
      <w:r>
        <w:rPr>
          <w:rFonts w:ascii="仿宋" w:eastAsia="仿宋" w:hAnsi="仿宋" w:hint="eastAsia"/>
          <w:color w:val="000000" w:themeColor="text1"/>
          <w:sz w:val="32"/>
          <w:szCs w:val="32"/>
        </w:rPr>
        <w:t>300</w:t>
      </w:r>
      <w:r>
        <w:rPr>
          <w:rFonts w:ascii="仿宋" w:eastAsia="仿宋" w:hAnsi="仿宋" w:hint="eastAsia"/>
          <w:color w:val="000000" w:themeColor="text1"/>
          <w:sz w:val="32"/>
          <w:szCs w:val="32"/>
        </w:rPr>
        <w:t>交易型开放式指数证券投资基金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博时中证红利交易型开放式指数证券投资基金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博时中证央企创新驱动交易型开放式指数证券投资基金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博时中证智能消费主题交易型开放式指数证券投资基金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博时中证新能源交易型开放式指数证券投资基金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博时中证金融科技主题交易型开放式指数证券投资基金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博时中证全指电力公用事业交易型开放式指数证券投资基金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博时上证科创板新材料交易型开放式指数证券投</w:t>
      </w:r>
      <w:bookmarkStart w:id="0" w:name="_GoBack"/>
      <w:bookmarkEnd w:id="0"/>
      <w:r>
        <w:rPr>
          <w:rFonts w:ascii="仿宋" w:eastAsia="仿宋" w:hAnsi="仿宋" w:hint="eastAsia"/>
          <w:color w:val="000000" w:themeColor="text1"/>
          <w:sz w:val="32"/>
          <w:szCs w:val="32"/>
        </w:rPr>
        <w:t>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博时中证科创创业</w:t>
      </w:r>
      <w:r>
        <w:rPr>
          <w:rFonts w:ascii="仿宋" w:eastAsia="仿宋" w:hAnsi="仿宋" w:hint="eastAsia"/>
          <w:color w:val="000000" w:themeColor="text1"/>
          <w:sz w:val="32"/>
          <w:szCs w:val="32"/>
        </w:rPr>
        <w:t>50</w:t>
      </w:r>
      <w:r>
        <w:rPr>
          <w:rFonts w:ascii="仿宋" w:eastAsia="仿宋" w:hAnsi="仿宋" w:hint="eastAsia"/>
          <w:color w:val="000000" w:themeColor="text1"/>
          <w:sz w:val="32"/>
          <w:szCs w:val="32"/>
        </w:rPr>
        <w:t>交易型开放式指数证券投资基金</w:t>
      </w:r>
    </w:p>
    <w:p w:rsidR="00A81C9D" w:rsidRDefault="00EC5BFA">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的季度报告</w:t>
      </w:r>
      <w:r>
        <w:rPr>
          <w:rFonts w:ascii="仿宋" w:eastAsia="仿宋" w:hAnsi="仿宋"/>
          <w:color w:val="000000" w:themeColor="text1"/>
          <w:sz w:val="32"/>
          <w:szCs w:val="32"/>
        </w:rPr>
        <w:t>全文</w:t>
      </w:r>
      <w:r>
        <w:rPr>
          <w:rFonts w:ascii="仿宋" w:eastAsia="仿宋" w:hAnsi="仿宋" w:hint="eastAsia"/>
          <w:color w:val="000000" w:themeColor="text1"/>
          <w:sz w:val="32"/>
          <w:szCs w:val="32"/>
        </w:rPr>
        <w:t>于</w:t>
      </w:r>
      <w:r>
        <w:rPr>
          <w:rFonts w:ascii="仿宋" w:eastAsia="仿宋" w:hAnsi="仿宋" w:hint="eastAsia"/>
          <w:color w:val="000000" w:themeColor="text1"/>
          <w:sz w:val="32"/>
          <w:szCs w:val="32"/>
        </w:rPr>
        <w:t>202</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20</w:t>
      </w:r>
      <w:r>
        <w:rPr>
          <w:rFonts w:ascii="仿宋" w:eastAsia="仿宋" w:hAnsi="仿宋" w:hint="eastAsia"/>
          <w:color w:val="000000" w:themeColor="text1"/>
          <w:sz w:val="32"/>
          <w:szCs w:val="32"/>
        </w:rPr>
        <w:t>日在</w:t>
      </w:r>
      <w:r>
        <w:rPr>
          <w:rFonts w:ascii="仿宋" w:eastAsia="仿宋" w:hAnsi="仿宋"/>
          <w:color w:val="000000" w:themeColor="text1"/>
          <w:sz w:val="32"/>
          <w:szCs w:val="32"/>
        </w:rPr>
        <w:t>本公司网站</w:t>
      </w:r>
      <w:r>
        <w:rPr>
          <w:rFonts w:ascii="仿宋" w:eastAsia="仿宋" w:hAnsi="仿宋" w:hint="eastAsia"/>
          <w:color w:val="000000" w:themeColor="text1"/>
          <w:sz w:val="32"/>
          <w:szCs w:val="32"/>
        </w:rPr>
        <w:t>（</w:t>
      </w:r>
      <w:hyperlink r:id="rId7" w:history="1">
        <w:r>
          <w:rPr>
            <w:rStyle w:val="a9"/>
            <w:rFonts w:ascii="仿宋" w:eastAsia="仿宋" w:hAnsi="仿宋"/>
            <w:sz w:val="32"/>
            <w:szCs w:val="32"/>
          </w:rPr>
          <w:t>http://www.bosera.com</w:t>
        </w:r>
      </w:hyperlink>
      <w:r>
        <w:rPr>
          <w:rFonts w:ascii="仿宋" w:eastAsia="仿宋" w:hAnsi="仿宋"/>
          <w:color w:val="000000" w:themeColor="text1"/>
          <w:sz w:val="32"/>
          <w:szCs w:val="32"/>
        </w:rPr>
        <w:t>）和中国证监会</w:t>
      </w:r>
      <w:r>
        <w:rPr>
          <w:rFonts w:ascii="仿宋" w:eastAsia="仿宋" w:hAnsi="仿宋" w:hint="eastAsia"/>
          <w:color w:val="000000" w:themeColor="text1"/>
          <w:sz w:val="32"/>
          <w:szCs w:val="32"/>
        </w:rPr>
        <w:t>基金</w:t>
      </w:r>
      <w:r>
        <w:rPr>
          <w:rFonts w:ascii="仿宋" w:eastAsia="仿宋" w:hAnsi="仿宋"/>
          <w:color w:val="000000" w:themeColor="text1"/>
          <w:sz w:val="32"/>
          <w:szCs w:val="32"/>
        </w:rPr>
        <w:t>电子披露网站</w:t>
      </w:r>
      <w:r>
        <w:rPr>
          <w:rFonts w:ascii="仿宋" w:eastAsia="仿宋" w:hAnsi="仿宋" w:hint="eastAsia"/>
          <w:color w:val="000000" w:themeColor="text1"/>
          <w:sz w:val="32"/>
          <w:szCs w:val="32"/>
        </w:rPr>
        <w:t>（</w:t>
      </w:r>
      <w:hyperlink r:id="rId8" w:history="1">
        <w:r>
          <w:rPr>
            <w:rStyle w:val="a9"/>
            <w:rFonts w:ascii="仿宋" w:eastAsia="仿宋" w:hAnsi="仿宋" w:hint="eastAsia"/>
            <w:sz w:val="32"/>
            <w:szCs w:val="32"/>
          </w:rPr>
          <w:t>http://eid.csrc.gov.cn/fund</w:t>
        </w:r>
      </w:hyperlink>
      <w:r>
        <w:rPr>
          <w:rFonts w:ascii="仿宋" w:eastAsia="仿宋" w:hAnsi="仿宋" w:hint="eastAsia"/>
          <w:color w:val="000000" w:themeColor="text1"/>
          <w:sz w:val="32"/>
          <w:szCs w:val="32"/>
        </w:rPr>
        <w:t>）</w:t>
      </w:r>
      <w:r>
        <w:rPr>
          <w:rFonts w:ascii="仿宋" w:eastAsia="仿宋" w:hAnsi="仿宋"/>
          <w:color w:val="000000" w:themeColor="text1"/>
          <w:sz w:val="32"/>
          <w:szCs w:val="32"/>
        </w:rPr>
        <w:t>披露，供投资者查阅。</w:t>
      </w:r>
      <w:r>
        <w:rPr>
          <w:rFonts w:ascii="仿宋" w:eastAsia="仿宋" w:hAnsi="仿宋" w:hint="eastAsia"/>
          <w:color w:val="000000" w:themeColor="text1"/>
          <w:sz w:val="32"/>
          <w:szCs w:val="32"/>
        </w:rPr>
        <w:t>如有疑问可拨打本公司客服电话（</w:t>
      </w:r>
      <w:r>
        <w:rPr>
          <w:rFonts w:ascii="仿宋" w:eastAsia="仿宋" w:hAnsi="仿宋"/>
          <w:color w:val="000000" w:themeColor="text1"/>
          <w:sz w:val="32"/>
          <w:szCs w:val="32"/>
        </w:rPr>
        <w:t>95105568</w:t>
      </w:r>
      <w:r>
        <w:rPr>
          <w:rFonts w:ascii="仿宋" w:eastAsia="仿宋" w:hAnsi="仿宋" w:hint="eastAsia"/>
          <w:color w:val="000000" w:themeColor="text1"/>
          <w:sz w:val="32"/>
          <w:szCs w:val="32"/>
        </w:rPr>
        <w:t>）咨询</w:t>
      </w:r>
      <w:r>
        <w:rPr>
          <w:rFonts w:ascii="仿宋" w:eastAsia="仿宋" w:hAnsi="仿宋"/>
          <w:color w:val="000000" w:themeColor="text1"/>
          <w:sz w:val="32"/>
          <w:szCs w:val="32"/>
        </w:rPr>
        <w:t>。</w:t>
      </w:r>
    </w:p>
    <w:p w:rsidR="00A81C9D" w:rsidRDefault="00EC5BFA">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本基金管理人承诺以诚实信用、勤勉尽责的原则管理和运用基金资产，但不保证基金一定盈利，也不保证最低收益。请充分了解基金的风险收益特征</w:t>
      </w:r>
      <w:r>
        <w:rPr>
          <w:rFonts w:ascii="仿宋" w:eastAsia="仿宋" w:hAnsi="仿宋" w:hint="eastAsia"/>
          <w:color w:val="000000" w:themeColor="text1"/>
          <w:sz w:val="32"/>
          <w:szCs w:val="32"/>
        </w:rPr>
        <w:t>，审慎做出投资决定。</w:t>
      </w:r>
    </w:p>
    <w:p w:rsidR="00A81C9D" w:rsidRDefault="00EC5BFA">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A81C9D" w:rsidRDefault="00EC5BFA">
      <w:pPr>
        <w:spacing w:line="540" w:lineRule="exact"/>
        <w:ind w:firstLineChars="250" w:firstLine="800"/>
        <w:jc w:val="righ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p>
    <w:p w:rsidR="00A81C9D" w:rsidRDefault="00A81C9D">
      <w:pPr>
        <w:spacing w:line="540" w:lineRule="exact"/>
        <w:ind w:firstLineChars="250" w:firstLine="800"/>
        <w:jc w:val="right"/>
        <w:rPr>
          <w:rFonts w:ascii="仿宋" w:eastAsia="仿宋" w:hAnsi="仿宋"/>
          <w:color w:val="000000" w:themeColor="text1"/>
          <w:sz w:val="32"/>
          <w:szCs w:val="32"/>
        </w:rPr>
      </w:pPr>
    </w:p>
    <w:p w:rsidR="00A81C9D" w:rsidRDefault="00EC5BFA">
      <w:pPr>
        <w:spacing w:line="540" w:lineRule="exact"/>
        <w:ind w:firstLineChars="250" w:firstLine="800"/>
        <w:jc w:val="righ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博时基金管理</w:t>
      </w:r>
      <w:r>
        <w:rPr>
          <w:rFonts w:ascii="仿宋" w:eastAsia="仿宋" w:hAnsi="仿宋" w:hint="eastAsia"/>
          <w:color w:val="000000" w:themeColor="text1"/>
          <w:sz w:val="32"/>
          <w:szCs w:val="32"/>
        </w:rPr>
        <w:t>有限</w:t>
      </w:r>
      <w:r>
        <w:rPr>
          <w:rFonts w:ascii="仿宋" w:eastAsia="仿宋" w:hAnsi="仿宋"/>
          <w:color w:val="000000" w:themeColor="text1"/>
          <w:sz w:val="32"/>
          <w:szCs w:val="32"/>
        </w:rPr>
        <w:t>公司</w:t>
      </w:r>
    </w:p>
    <w:p w:rsidR="00A81C9D" w:rsidRDefault="00EC5BFA">
      <w:pPr>
        <w:spacing w:line="540" w:lineRule="exact"/>
        <w:ind w:firstLineChars="250" w:firstLine="800"/>
        <w:jc w:val="righ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202</w:t>
      </w:r>
      <w:r>
        <w:rPr>
          <w:rFonts w:ascii="仿宋" w:eastAsia="仿宋" w:hAnsi="仿宋" w:hint="eastAsia"/>
          <w:color w:val="000000" w:themeColor="text1"/>
          <w:sz w:val="32"/>
          <w:szCs w:val="32"/>
        </w:rPr>
        <w:t>3</w:t>
      </w:r>
      <w:r>
        <w:rPr>
          <w:rFonts w:ascii="仿宋" w:eastAsia="仿宋" w:hAnsi="仿宋"/>
          <w:color w:val="000000" w:themeColor="text1"/>
          <w:sz w:val="32"/>
          <w:szCs w:val="32"/>
        </w:rPr>
        <w:t>年</w:t>
      </w:r>
      <w:r>
        <w:rPr>
          <w:rFonts w:ascii="仿宋" w:eastAsia="仿宋" w:hAnsi="仿宋" w:hint="eastAsia"/>
          <w:color w:val="000000" w:themeColor="text1"/>
          <w:sz w:val="32"/>
          <w:szCs w:val="32"/>
        </w:rPr>
        <w:t>1</w:t>
      </w:r>
      <w:r>
        <w:rPr>
          <w:rFonts w:ascii="仿宋" w:eastAsia="仿宋" w:hAnsi="仿宋"/>
          <w:color w:val="000000" w:themeColor="text1"/>
          <w:sz w:val="32"/>
          <w:szCs w:val="32"/>
        </w:rPr>
        <w:t>月</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0</w:t>
      </w:r>
      <w:r>
        <w:rPr>
          <w:rFonts w:ascii="仿宋" w:eastAsia="仿宋" w:hAnsi="仿宋"/>
          <w:color w:val="000000" w:themeColor="text1"/>
          <w:sz w:val="32"/>
          <w:szCs w:val="32"/>
        </w:rPr>
        <w:t>日</w:t>
      </w:r>
    </w:p>
    <w:sectPr w:rsidR="00A81C9D" w:rsidSect="00A81C9D">
      <w:headerReference w:type="default" r:id="rId9"/>
      <w:footerReference w:type="default" r:id="rId10"/>
      <w:footerReference w:type="first" r:id="rId11"/>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C9D" w:rsidRDefault="00A81C9D" w:rsidP="00A81C9D">
      <w:r>
        <w:separator/>
      </w:r>
    </w:p>
  </w:endnote>
  <w:endnote w:type="continuationSeparator" w:id="0">
    <w:p w:rsidR="00A81C9D" w:rsidRDefault="00A81C9D" w:rsidP="00A81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sdtPr>
    <w:sdtContent>
      <w:p w:rsidR="00A81C9D" w:rsidRDefault="00A81C9D">
        <w:pPr>
          <w:pStyle w:val="a5"/>
          <w:jc w:val="center"/>
        </w:pPr>
        <w:r>
          <w:fldChar w:fldCharType="begin"/>
        </w:r>
        <w:r w:rsidR="00EC5BFA">
          <w:instrText>PAGE   \* MERGEFORMAT</w:instrText>
        </w:r>
        <w:r>
          <w:fldChar w:fldCharType="separate"/>
        </w:r>
        <w:r w:rsidR="00EC5BFA">
          <w:rPr>
            <w:lang w:val="zh-CN"/>
          </w:rPr>
          <w:t>5</w:t>
        </w:r>
        <w:r>
          <w:fldChar w:fldCharType="end"/>
        </w:r>
      </w:p>
    </w:sdtContent>
  </w:sdt>
  <w:p w:rsidR="00A81C9D" w:rsidRDefault="00A81C9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sdtPr>
    <w:sdtContent>
      <w:p w:rsidR="00A81C9D" w:rsidRDefault="00A81C9D">
        <w:pPr>
          <w:pStyle w:val="a5"/>
          <w:jc w:val="center"/>
        </w:pPr>
        <w:r>
          <w:fldChar w:fldCharType="begin"/>
        </w:r>
        <w:r w:rsidR="00EC5BFA">
          <w:instrText>PAGE   \* MERGEFORMAT</w:instrText>
        </w:r>
        <w:r>
          <w:fldChar w:fldCharType="separate"/>
        </w:r>
        <w:r w:rsidR="00EC5BFA" w:rsidRPr="00EC5BFA">
          <w:rPr>
            <w:noProof/>
            <w:lang w:val="zh-CN"/>
          </w:rPr>
          <w:t>1</w:t>
        </w:r>
        <w:r>
          <w:fldChar w:fldCharType="end"/>
        </w:r>
      </w:p>
    </w:sdtContent>
  </w:sdt>
  <w:p w:rsidR="00A81C9D" w:rsidRDefault="00A81C9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C9D" w:rsidRDefault="00A81C9D" w:rsidP="00A81C9D">
      <w:r>
        <w:separator/>
      </w:r>
    </w:p>
  </w:footnote>
  <w:footnote w:type="continuationSeparator" w:id="0">
    <w:p w:rsidR="00A81C9D" w:rsidRDefault="00A81C9D" w:rsidP="00A81C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C9D" w:rsidRDefault="00A81C9D">
    <w:pPr>
      <w:pStyle w:val="a6"/>
    </w:pPr>
  </w:p>
  <w:p w:rsidR="00A81C9D" w:rsidRDefault="00A81C9D"/>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cumentProtection w:formatting="1"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172A27"/>
    <w:rsid w:val="00001760"/>
    <w:rsid w:val="00010044"/>
    <w:rsid w:val="00022ABD"/>
    <w:rsid w:val="00025D40"/>
    <w:rsid w:val="000300E5"/>
    <w:rsid w:val="0003246C"/>
    <w:rsid w:val="00033010"/>
    <w:rsid w:val="00033204"/>
    <w:rsid w:val="000475F0"/>
    <w:rsid w:val="000539F6"/>
    <w:rsid w:val="00056EE0"/>
    <w:rsid w:val="00057323"/>
    <w:rsid w:val="000759FD"/>
    <w:rsid w:val="0008010F"/>
    <w:rsid w:val="00081ADE"/>
    <w:rsid w:val="00084E7D"/>
    <w:rsid w:val="00087988"/>
    <w:rsid w:val="0009227A"/>
    <w:rsid w:val="00093E55"/>
    <w:rsid w:val="00094F20"/>
    <w:rsid w:val="000A0272"/>
    <w:rsid w:val="000A0ECE"/>
    <w:rsid w:val="000A588E"/>
    <w:rsid w:val="000B53A5"/>
    <w:rsid w:val="000C06E1"/>
    <w:rsid w:val="000C1032"/>
    <w:rsid w:val="000D18EF"/>
    <w:rsid w:val="000E13E9"/>
    <w:rsid w:val="000E7D66"/>
    <w:rsid w:val="000F07E6"/>
    <w:rsid w:val="000F407E"/>
    <w:rsid w:val="000F6458"/>
    <w:rsid w:val="001039BC"/>
    <w:rsid w:val="001279BE"/>
    <w:rsid w:val="0013251E"/>
    <w:rsid w:val="001445A9"/>
    <w:rsid w:val="00146307"/>
    <w:rsid w:val="001533B2"/>
    <w:rsid w:val="001623CF"/>
    <w:rsid w:val="00165D5C"/>
    <w:rsid w:val="00166612"/>
    <w:rsid w:val="00166B15"/>
    <w:rsid w:val="00172A27"/>
    <w:rsid w:val="00174C8C"/>
    <w:rsid w:val="0017571E"/>
    <w:rsid w:val="00175AED"/>
    <w:rsid w:val="00191702"/>
    <w:rsid w:val="00192262"/>
    <w:rsid w:val="001A593B"/>
    <w:rsid w:val="001C6943"/>
    <w:rsid w:val="001D04AB"/>
    <w:rsid w:val="001D2521"/>
    <w:rsid w:val="001D74AE"/>
    <w:rsid w:val="001E7CAD"/>
    <w:rsid w:val="001F125D"/>
    <w:rsid w:val="001F15CB"/>
    <w:rsid w:val="001F533E"/>
    <w:rsid w:val="0021172E"/>
    <w:rsid w:val="00221DE2"/>
    <w:rsid w:val="00234298"/>
    <w:rsid w:val="002343BD"/>
    <w:rsid w:val="002471D4"/>
    <w:rsid w:val="00253326"/>
    <w:rsid w:val="00261CDE"/>
    <w:rsid w:val="0026276F"/>
    <w:rsid w:val="00276CA4"/>
    <w:rsid w:val="002823E9"/>
    <w:rsid w:val="00282A7F"/>
    <w:rsid w:val="00284E14"/>
    <w:rsid w:val="00293DE4"/>
    <w:rsid w:val="002941EC"/>
    <w:rsid w:val="00296096"/>
    <w:rsid w:val="00296303"/>
    <w:rsid w:val="002968AB"/>
    <w:rsid w:val="002970F7"/>
    <w:rsid w:val="002A1F54"/>
    <w:rsid w:val="002A4FF0"/>
    <w:rsid w:val="002B144C"/>
    <w:rsid w:val="002B16F4"/>
    <w:rsid w:val="002B2DA0"/>
    <w:rsid w:val="002B7B4F"/>
    <w:rsid w:val="002C5D36"/>
    <w:rsid w:val="002E24D1"/>
    <w:rsid w:val="002E79D9"/>
    <w:rsid w:val="002E7B0A"/>
    <w:rsid w:val="002F2B53"/>
    <w:rsid w:val="00303860"/>
    <w:rsid w:val="00311075"/>
    <w:rsid w:val="003117E6"/>
    <w:rsid w:val="0031471A"/>
    <w:rsid w:val="00332619"/>
    <w:rsid w:val="00333802"/>
    <w:rsid w:val="003467B5"/>
    <w:rsid w:val="00355AEF"/>
    <w:rsid w:val="00355B7C"/>
    <w:rsid w:val="00361065"/>
    <w:rsid w:val="0036248F"/>
    <w:rsid w:val="00382BCB"/>
    <w:rsid w:val="00391944"/>
    <w:rsid w:val="00393949"/>
    <w:rsid w:val="003948AF"/>
    <w:rsid w:val="00394BBC"/>
    <w:rsid w:val="003A4AC6"/>
    <w:rsid w:val="003B46C9"/>
    <w:rsid w:val="003C2820"/>
    <w:rsid w:val="003C3CB5"/>
    <w:rsid w:val="003C5A1A"/>
    <w:rsid w:val="003D0424"/>
    <w:rsid w:val="003D32D7"/>
    <w:rsid w:val="003F4E13"/>
    <w:rsid w:val="003F6960"/>
    <w:rsid w:val="0040020D"/>
    <w:rsid w:val="00405ADB"/>
    <w:rsid w:val="004254EE"/>
    <w:rsid w:val="00430D19"/>
    <w:rsid w:val="00433480"/>
    <w:rsid w:val="0043655D"/>
    <w:rsid w:val="00437D86"/>
    <w:rsid w:val="00441246"/>
    <w:rsid w:val="00441E0B"/>
    <w:rsid w:val="00452A46"/>
    <w:rsid w:val="00454581"/>
    <w:rsid w:val="00454978"/>
    <w:rsid w:val="00464B6B"/>
    <w:rsid w:val="00467E81"/>
    <w:rsid w:val="004744B6"/>
    <w:rsid w:val="004748B9"/>
    <w:rsid w:val="00477BA8"/>
    <w:rsid w:val="00477EB2"/>
    <w:rsid w:val="0048111A"/>
    <w:rsid w:val="00487BF1"/>
    <w:rsid w:val="00491FCB"/>
    <w:rsid w:val="00497943"/>
    <w:rsid w:val="00497A8B"/>
    <w:rsid w:val="004A0E45"/>
    <w:rsid w:val="004A54A6"/>
    <w:rsid w:val="004B1105"/>
    <w:rsid w:val="004C3109"/>
    <w:rsid w:val="004C44C4"/>
    <w:rsid w:val="004C625A"/>
    <w:rsid w:val="004C6355"/>
    <w:rsid w:val="004E1D5E"/>
    <w:rsid w:val="004E630B"/>
    <w:rsid w:val="004F7313"/>
    <w:rsid w:val="005158A6"/>
    <w:rsid w:val="0052094C"/>
    <w:rsid w:val="00534A41"/>
    <w:rsid w:val="0053650E"/>
    <w:rsid w:val="00542535"/>
    <w:rsid w:val="00544E6E"/>
    <w:rsid w:val="00547910"/>
    <w:rsid w:val="00551033"/>
    <w:rsid w:val="00560AC4"/>
    <w:rsid w:val="00563FE4"/>
    <w:rsid w:val="00567A02"/>
    <w:rsid w:val="005711D9"/>
    <w:rsid w:val="005751C6"/>
    <w:rsid w:val="00582D8F"/>
    <w:rsid w:val="005837B0"/>
    <w:rsid w:val="00596AC1"/>
    <w:rsid w:val="005A408B"/>
    <w:rsid w:val="005A46AE"/>
    <w:rsid w:val="005A77EA"/>
    <w:rsid w:val="005B5746"/>
    <w:rsid w:val="005C00AF"/>
    <w:rsid w:val="005C7C95"/>
    <w:rsid w:val="005D3C24"/>
    <w:rsid w:val="005D4528"/>
    <w:rsid w:val="005E088E"/>
    <w:rsid w:val="005E0F00"/>
    <w:rsid w:val="005F4D9C"/>
    <w:rsid w:val="005F7E5C"/>
    <w:rsid w:val="00604996"/>
    <w:rsid w:val="00605B67"/>
    <w:rsid w:val="006163B1"/>
    <w:rsid w:val="00616874"/>
    <w:rsid w:val="0062589F"/>
    <w:rsid w:val="00626EA8"/>
    <w:rsid w:val="00641CEA"/>
    <w:rsid w:val="0065080E"/>
    <w:rsid w:val="006509A9"/>
    <w:rsid w:val="00655229"/>
    <w:rsid w:val="00656B0C"/>
    <w:rsid w:val="0066309A"/>
    <w:rsid w:val="0066627D"/>
    <w:rsid w:val="006832A2"/>
    <w:rsid w:val="00684A20"/>
    <w:rsid w:val="00685C26"/>
    <w:rsid w:val="00690EC4"/>
    <w:rsid w:val="006962CB"/>
    <w:rsid w:val="006A0BB0"/>
    <w:rsid w:val="006A7F42"/>
    <w:rsid w:val="006B4697"/>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4144B"/>
    <w:rsid w:val="00741A3E"/>
    <w:rsid w:val="007443C2"/>
    <w:rsid w:val="007477E1"/>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3F2C"/>
    <w:rsid w:val="007C51E4"/>
    <w:rsid w:val="007D4066"/>
    <w:rsid w:val="007D5109"/>
    <w:rsid w:val="007E3EED"/>
    <w:rsid w:val="007F136D"/>
    <w:rsid w:val="007F60CB"/>
    <w:rsid w:val="0080104E"/>
    <w:rsid w:val="00801AAB"/>
    <w:rsid w:val="0080773A"/>
    <w:rsid w:val="0081788D"/>
    <w:rsid w:val="00825398"/>
    <w:rsid w:val="008263AE"/>
    <w:rsid w:val="008318C0"/>
    <w:rsid w:val="00831A29"/>
    <w:rsid w:val="00832B61"/>
    <w:rsid w:val="00835A88"/>
    <w:rsid w:val="00847A69"/>
    <w:rsid w:val="008619E1"/>
    <w:rsid w:val="00866E5A"/>
    <w:rsid w:val="008721DF"/>
    <w:rsid w:val="008738A9"/>
    <w:rsid w:val="00876EC6"/>
    <w:rsid w:val="00881C77"/>
    <w:rsid w:val="00882FB0"/>
    <w:rsid w:val="008839E0"/>
    <w:rsid w:val="00887017"/>
    <w:rsid w:val="00891007"/>
    <w:rsid w:val="00894B81"/>
    <w:rsid w:val="008A1AFA"/>
    <w:rsid w:val="008A2CE2"/>
    <w:rsid w:val="008A3460"/>
    <w:rsid w:val="008A77F1"/>
    <w:rsid w:val="008B539C"/>
    <w:rsid w:val="008B77D5"/>
    <w:rsid w:val="008C155D"/>
    <w:rsid w:val="008D1059"/>
    <w:rsid w:val="008D4634"/>
    <w:rsid w:val="008E4CD7"/>
    <w:rsid w:val="008E58F7"/>
    <w:rsid w:val="008E6EC1"/>
    <w:rsid w:val="00903815"/>
    <w:rsid w:val="00903C0A"/>
    <w:rsid w:val="009062C4"/>
    <w:rsid w:val="0090723B"/>
    <w:rsid w:val="00910193"/>
    <w:rsid w:val="0092312D"/>
    <w:rsid w:val="00933628"/>
    <w:rsid w:val="009465EA"/>
    <w:rsid w:val="0094712A"/>
    <w:rsid w:val="009506DC"/>
    <w:rsid w:val="009566C4"/>
    <w:rsid w:val="00956DD9"/>
    <w:rsid w:val="009628AE"/>
    <w:rsid w:val="00967A04"/>
    <w:rsid w:val="00973509"/>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E35EB"/>
    <w:rsid w:val="009E433A"/>
    <w:rsid w:val="009E64F2"/>
    <w:rsid w:val="009E7875"/>
    <w:rsid w:val="009F72D1"/>
    <w:rsid w:val="00A144A6"/>
    <w:rsid w:val="00A171B6"/>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81C9D"/>
    <w:rsid w:val="00A81D7B"/>
    <w:rsid w:val="00A8641D"/>
    <w:rsid w:val="00A87DCB"/>
    <w:rsid w:val="00A93A22"/>
    <w:rsid w:val="00AB49A1"/>
    <w:rsid w:val="00AC1161"/>
    <w:rsid w:val="00AD18DD"/>
    <w:rsid w:val="00AD562B"/>
    <w:rsid w:val="00AE3F47"/>
    <w:rsid w:val="00AE69BF"/>
    <w:rsid w:val="00AF7347"/>
    <w:rsid w:val="00B014DF"/>
    <w:rsid w:val="00B11B77"/>
    <w:rsid w:val="00B16987"/>
    <w:rsid w:val="00B17EF5"/>
    <w:rsid w:val="00B2068A"/>
    <w:rsid w:val="00B23F95"/>
    <w:rsid w:val="00B25BAB"/>
    <w:rsid w:val="00B26285"/>
    <w:rsid w:val="00B33F4A"/>
    <w:rsid w:val="00B41297"/>
    <w:rsid w:val="00B504F2"/>
    <w:rsid w:val="00B51388"/>
    <w:rsid w:val="00B517DE"/>
    <w:rsid w:val="00B51CE1"/>
    <w:rsid w:val="00B61D0F"/>
    <w:rsid w:val="00B64EDD"/>
    <w:rsid w:val="00B65E43"/>
    <w:rsid w:val="00B725A0"/>
    <w:rsid w:val="00B7491E"/>
    <w:rsid w:val="00B763C4"/>
    <w:rsid w:val="00B91560"/>
    <w:rsid w:val="00B9364B"/>
    <w:rsid w:val="00B95F9A"/>
    <w:rsid w:val="00BA0E21"/>
    <w:rsid w:val="00BA1434"/>
    <w:rsid w:val="00BA3915"/>
    <w:rsid w:val="00BA3AE4"/>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553B"/>
    <w:rsid w:val="00C44634"/>
    <w:rsid w:val="00C45644"/>
    <w:rsid w:val="00C51B56"/>
    <w:rsid w:val="00C5361C"/>
    <w:rsid w:val="00C53B3E"/>
    <w:rsid w:val="00C61988"/>
    <w:rsid w:val="00C64316"/>
    <w:rsid w:val="00C67F89"/>
    <w:rsid w:val="00C71F74"/>
    <w:rsid w:val="00C73CFC"/>
    <w:rsid w:val="00C7490E"/>
    <w:rsid w:val="00C75104"/>
    <w:rsid w:val="00C81CAD"/>
    <w:rsid w:val="00C84743"/>
    <w:rsid w:val="00C86E10"/>
    <w:rsid w:val="00C9160A"/>
    <w:rsid w:val="00C972C4"/>
    <w:rsid w:val="00CA1FEF"/>
    <w:rsid w:val="00CA25FC"/>
    <w:rsid w:val="00CA6A56"/>
    <w:rsid w:val="00CB02EA"/>
    <w:rsid w:val="00CB2CEE"/>
    <w:rsid w:val="00CB4DE3"/>
    <w:rsid w:val="00CC2F35"/>
    <w:rsid w:val="00CC40C3"/>
    <w:rsid w:val="00CD00C4"/>
    <w:rsid w:val="00CD42C4"/>
    <w:rsid w:val="00CE43F8"/>
    <w:rsid w:val="00CE7C8B"/>
    <w:rsid w:val="00CF01CC"/>
    <w:rsid w:val="00CF6D5C"/>
    <w:rsid w:val="00D073A7"/>
    <w:rsid w:val="00D10B1F"/>
    <w:rsid w:val="00D11E1F"/>
    <w:rsid w:val="00D20C81"/>
    <w:rsid w:val="00D25E39"/>
    <w:rsid w:val="00D3262F"/>
    <w:rsid w:val="00D361FE"/>
    <w:rsid w:val="00D36E74"/>
    <w:rsid w:val="00D42F13"/>
    <w:rsid w:val="00D43B3D"/>
    <w:rsid w:val="00D5035D"/>
    <w:rsid w:val="00D5213E"/>
    <w:rsid w:val="00D52A3F"/>
    <w:rsid w:val="00D535B2"/>
    <w:rsid w:val="00D56E0D"/>
    <w:rsid w:val="00D62A71"/>
    <w:rsid w:val="00D70A3B"/>
    <w:rsid w:val="00D72110"/>
    <w:rsid w:val="00D919AF"/>
    <w:rsid w:val="00D937BD"/>
    <w:rsid w:val="00DA2D7C"/>
    <w:rsid w:val="00DB6F0A"/>
    <w:rsid w:val="00DD7BAA"/>
    <w:rsid w:val="00DE0FFA"/>
    <w:rsid w:val="00DE6A70"/>
    <w:rsid w:val="00DE6D0E"/>
    <w:rsid w:val="00DF3DF3"/>
    <w:rsid w:val="00DF5AA8"/>
    <w:rsid w:val="00E11D7D"/>
    <w:rsid w:val="00E1254C"/>
    <w:rsid w:val="00E1493F"/>
    <w:rsid w:val="00E16895"/>
    <w:rsid w:val="00E32614"/>
    <w:rsid w:val="00E33250"/>
    <w:rsid w:val="00E3526B"/>
    <w:rsid w:val="00E5059C"/>
    <w:rsid w:val="00E54C06"/>
    <w:rsid w:val="00E5664A"/>
    <w:rsid w:val="00E7407A"/>
    <w:rsid w:val="00E81A0A"/>
    <w:rsid w:val="00E964F7"/>
    <w:rsid w:val="00EA6F84"/>
    <w:rsid w:val="00EB0FFB"/>
    <w:rsid w:val="00EB5F37"/>
    <w:rsid w:val="00EB7931"/>
    <w:rsid w:val="00EC5BFA"/>
    <w:rsid w:val="00ED548C"/>
    <w:rsid w:val="00ED7F3F"/>
    <w:rsid w:val="00EE629E"/>
    <w:rsid w:val="00EF043C"/>
    <w:rsid w:val="00EF49B3"/>
    <w:rsid w:val="00EF56E1"/>
    <w:rsid w:val="00EF73FD"/>
    <w:rsid w:val="00F00561"/>
    <w:rsid w:val="00F01150"/>
    <w:rsid w:val="00F01E3D"/>
    <w:rsid w:val="00F04DC2"/>
    <w:rsid w:val="00F066D9"/>
    <w:rsid w:val="00F25F52"/>
    <w:rsid w:val="00F469D5"/>
    <w:rsid w:val="00F47FEE"/>
    <w:rsid w:val="00F527B3"/>
    <w:rsid w:val="00F55431"/>
    <w:rsid w:val="00F632AF"/>
    <w:rsid w:val="00F6382D"/>
    <w:rsid w:val="00F63F55"/>
    <w:rsid w:val="00F66378"/>
    <w:rsid w:val="00F71C51"/>
    <w:rsid w:val="00F77F4B"/>
    <w:rsid w:val="00F80D7B"/>
    <w:rsid w:val="00F9100C"/>
    <w:rsid w:val="00FA0934"/>
    <w:rsid w:val="00FA653D"/>
    <w:rsid w:val="00FB23EE"/>
    <w:rsid w:val="00FC34DF"/>
    <w:rsid w:val="00FC366A"/>
    <w:rsid w:val="00FD658E"/>
    <w:rsid w:val="00FE0C5A"/>
    <w:rsid w:val="00FE13A2"/>
    <w:rsid w:val="3CFD1217"/>
    <w:rsid w:val="760706E5"/>
    <w:rsid w:val="79991A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C9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A81C9D"/>
    <w:pPr>
      <w:jc w:val="left"/>
    </w:pPr>
  </w:style>
  <w:style w:type="paragraph" w:styleId="a4">
    <w:name w:val="Balloon Text"/>
    <w:basedOn w:val="a"/>
    <w:link w:val="Char0"/>
    <w:uiPriority w:val="99"/>
    <w:semiHidden/>
    <w:unhideWhenUsed/>
    <w:qFormat/>
    <w:rsid w:val="00A81C9D"/>
    <w:rPr>
      <w:sz w:val="18"/>
      <w:szCs w:val="18"/>
    </w:rPr>
  </w:style>
  <w:style w:type="paragraph" w:styleId="a5">
    <w:name w:val="footer"/>
    <w:basedOn w:val="a"/>
    <w:link w:val="Char1"/>
    <w:uiPriority w:val="99"/>
    <w:unhideWhenUsed/>
    <w:rsid w:val="00A81C9D"/>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A81C9D"/>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semiHidden/>
    <w:unhideWhenUsed/>
    <w:qFormat/>
    <w:rsid w:val="00A81C9D"/>
    <w:pPr>
      <w:snapToGrid w:val="0"/>
      <w:jc w:val="left"/>
    </w:pPr>
    <w:rPr>
      <w:sz w:val="18"/>
      <w:szCs w:val="18"/>
    </w:rPr>
  </w:style>
  <w:style w:type="paragraph" w:styleId="a8">
    <w:name w:val="annotation subject"/>
    <w:basedOn w:val="a3"/>
    <w:next w:val="a3"/>
    <w:link w:val="Char4"/>
    <w:uiPriority w:val="99"/>
    <w:semiHidden/>
    <w:unhideWhenUsed/>
    <w:qFormat/>
    <w:rsid w:val="00A81C9D"/>
    <w:rPr>
      <w:b/>
      <w:bCs/>
    </w:rPr>
  </w:style>
  <w:style w:type="character" w:styleId="a9">
    <w:name w:val="Hyperlink"/>
    <w:basedOn w:val="a0"/>
    <w:uiPriority w:val="99"/>
    <w:unhideWhenUsed/>
    <w:qFormat/>
    <w:rsid w:val="00A81C9D"/>
    <w:rPr>
      <w:color w:val="0000FF" w:themeColor="hyperlink"/>
      <w:u w:val="single"/>
    </w:rPr>
  </w:style>
  <w:style w:type="character" w:styleId="aa">
    <w:name w:val="annotation reference"/>
    <w:basedOn w:val="a0"/>
    <w:uiPriority w:val="99"/>
    <w:semiHidden/>
    <w:unhideWhenUsed/>
    <w:qFormat/>
    <w:rsid w:val="00A81C9D"/>
    <w:rPr>
      <w:sz w:val="21"/>
      <w:szCs w:val="21"/>
    </w:rPr>
  </w:style>
  <w:style w:type="character" w:styleId="ab">
    <w:name w:val="footnote reference"/>
    <w:basedOn w:val="a0"/>
    <w:uiPriority w:val="99"/>
    <w:semiHidden/>
    <w:unhideWhenUsed/>
    <w:qFormat/>
    <w:rsid w:val="00A81C9D"/>
    <w:rPr>
      <w:vertAlign w:val="superscript"/>
    </w:rPr>
  </w:style>
  <w:style w:type="character" w:customStyle="1" w:styleId="Char2">
    <w:name w:val="页眉 Char"/>
    <w:basedOn w:val="a0"/>
    <w:link w:val="a6"/>
    <w:uiPriority w:val="99"/>
    <w:qFormat/>
    <w:rsid w:val="00A81C9D"/>
    <w:rPr>
      <w:sz w:val="18"/>
      <w:szCs w:val="18"/>
    </w:rPr>
  </w:style>
  <w:style w:type="character" w:customStyle="1" w:styleId="Char1">
    <w:name w:val="页脚 Char"/>
    <w:basedOn w:val="a0"/>
    <w:link w:val="a5"/>
    <w:uiPriority w:val="99"/>
    <w:qFormat/>
    <w:rsid w:val="00A81C9D"/>
    <w:rPr>
      <w:sz w:val="18"/>
      <w:szCs w:val="18"/>
    </w:rPr>
  </w:style>
  <w:style w:type="paragraph" w:styleId="ac">
    <w:name w:val="List Paragraph"/>
    <w:basedOn w:val="a"/>
    <w:uiPriority w:val="34"/>
    <w:qFormat/>
    <w:rsid w:val="00A81C9D"/>
    <w:pPr>
      <w:ind w:firstLineChars="200" w:firstLine="420"/>
    </w:pPr>
  </w:style>
  <w:style w:type="character" w:customStyle="1" w:styleId="Char0">
    <w:name w:val="批注框文本 Char"/>
    <w:basedOn w:val="a0"/>
    <w:link w:val="a4"/>
    <w:uiPriority w:val="99"/>
    <w:semiHidden/>
    <w:qFormat/>
    <w:rsid w:val="00A81C9D"/>
    <w:rPr>
      <w:sz w:val="18"/>
      <w:szCs w:val="18"/>
    </w:rPr>
  </w:style>
  <w:style w:type="character" w:customStyle="1" w:styleId="Char">
    <w:name w:val="批注文字 Char"/>
    <w:basedOn w:val="a0"/>
    <w:link w:val="a3"/>
    <w:uiPriority w:val="99"/>
    <w:semiHidden/>
    <w:qFormat/>
    <w:rsid w:val="00A81C9D"/>
  </w:style>
  <w:style w:type="character" w:customStyle="1" w:styleId="Char4">
    <w:name w:val="批注主题 Char"/>
    <w:basedOn w:val="Char"/>
    <w:link w:val="a8"/>
    <w:uiPriority w:val="99"/>
    <w:semiHidden/>
    <w:qFormat/>
    <w:rsid w:val="00A81C9D"/>
    <w:rPr>
      <w:b/>
      <w:bCs/>
    </w:rPr>
  </w:style>
  <w:style w:type="character" w:customStyle="1" w:styleId="Char3">
    <w:name w:val="脚注文本 Char"/>
    <w:basedOn w:val="a0"/>
    <w:link w:val="a7"/>
    <w:uiPriority w:val="99"/>
    <w:semiHidden/>
    <w:qFormat/>
    <w:rsid w:val="00A81C9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eid.csrc.gov.cn/fun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ser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A9AA7-5EC9-4E14-B38F-0DAFFAB0D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1071</Words>
  <Characters>6108</Characters>
  <Application>Microsoft Office Word</Application>
  <DocSecurity>4</DocSecurity>
  <Lines>50</Lines>
  <Paragraphs>14</Paragraphs>
  <ScaleCrop>false</ScaleCrop>
  <Company>CNSTOCK</Company>
  <LinksUpToDate>false</LinksUpToDate>
  <CharactersWithSpaces>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2023-01-19T16:06:00Z</dcterms:created>
  <dcterms:modified xsi:type="dcterms:W3CDTF">2023-01-19T16:06:00Z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8BEBF810546D4B53B5688270497CFA9D</vt:lpwstr>
  </property>
</Properties>
</file>