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FC0667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关于汇添富黄金及贵金属证券投资基金(LOF)因境外主要市场节假日暂停申购、赎回、定期定额投资业务的公告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FC0667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2023年01月12日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Default="00FC0667" w:rsidP="003B5B25">
      <w:pPr>
        <w:pStyle w:val="2"/>
        <w:spacing w:beforeLines="50" w:afterLines="50" w:line="240" w:lineRule="auto"/>
        <w:jc w:val="left"/>
        <w:rPr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2579"/>
        <w:gridCol w:w="4579"/>
      </w:tblGrid>
      <w:tr w:rsidR="00C81212">
        <w:tc>
          <w:tcPr>
            <w:tcW w:w="14000" w:type="dxa"/>
            <w:gridSpan w:val="2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</w:t>
            </w:r>
            <w:r>
              <w:rPr>
                <w:sz w:val="24"/>
                <w:szCs w:val="24"/>
              </w:rPr>
              <w:t>(LOF)</w:t>
            </w:r>
          </w:p>
        </w:tc>
      </w:tr>
      <w:tr w:rsidR="00C81212">
        <w:tc>
          <w:tcPr>
            <w:tcW w:w="14000" w:type="dxa"/>
            <w:gridSpan w:val="2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</w:t>
            </w:r>
          </w:p>
        </w:tc>
      </w:tr>
      <w:tr w:rsidR="00C81212">
        <w:tc>
          <w:tcPr>
            <w:tcW w:w="14000" w:type="dxa"/>
            <w:gridSpan w:val="2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C81212">
        <w:tc>
          <w:tcPr>
            <w:tcW w:w="14000" w:type="dxa"/>
            <w:gridSpan w:val="2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C81212">
        <w:tc>
          <w:tcPr>
            <w:tcW w:w="14000" w:type="dxa"/>
            <w:gridSpan w:val="2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</w:t>
            </w:r>
            <w:r>
              <w:rPr>
                <w:sz w:val="24"/>
                <w:szCs w:val="24"/>
              </w:rPr>
              <w:t>(LOF)</w:t>
            </w:r>
            <w:r>
              <w:rPr>
                <w:sz w:val="24"/>
                <w:szCs w:val="24"/>
              </w:rPr>
              <w:t>招募说明书》的规定。</w:t>
            </w:r>
          </w:p>
        </w:tc>
      </w:tr>
      <w:tr w:rsidR="00C81212">
        <w:tc>
          <w:tcPr>
            <w:tcW w:w="4000" w:type="dxa"/>
            <w:vMerge w:val="restart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0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81212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81212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81212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16000" w:type="dxa"/>
            <w:vAlign w:val="center"/>
          </w:tcPr>
          <w:p w:rsidR="002173B5" w:rsidRDefault="00FC0667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</w:tbl>
    <w:p w:rsidR="00E37950" w:rsidRPr="00E37950" w:rsidRDefault="00FC0667" w:rsidP="002173B5">
      <w:pPr>
        <w:jc w:val="left"/>
        <w:rPr>
          <w:rFonts w:ascii="宋体" w:eastAsia="宋体" w:hAnsi="宋体" w:cs="宋体"/>
          <w:color w:val="000000"/>
          <w:szCs w:val="21"/>
        </w:rPr>
      </w:pPr>
      <w:bookmarkStart w:id="1" w:name="_GoBack"/>
      <w:bookmarkEnd w:id="1"/>
      <w:r w:rsidRPr="00E37950">
        <w:rPr>
          <w:rFonts w:ascii="宋体" w:eastAsia="宋体" w:hAnsi="宋体" w:cs="宋体" w:hint="eastAsia"/>
          <w:color w:val="000000"/>
          <w:szCs w:val="21"/>
        </w:rPr>
        <w:t>本基金场内简称为贵金属LOF。</w:t>
      </w:r>
    </w:p>
    <w:p w:rsidR="002E18C2" w:rsidRPr="002C78AE" w:rsidRDefault="00FC0667" w:rsidP="003B5B25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FC0667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1、2023年01月17日，本基金将恢复办理申购、赎回、定期定额投资业务，届时不再公告。</w:t>
      </w:r>
    </w:p>
    <w:p w:rsidR="00C81212" w:rsidRDefault="00FC0667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C81212" w:rsidRDefault="00FC0667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C81212" w:rsidRDefault="00FC0667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</w:p>
    <w:p w:rsidR="002E18C2" w:rsidRPr="002C78AE" w:rsidRDefault="00FC0667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FC0667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2023年01月12日</w:t>
      </w:r>
    </w:p>
    <w:sectPr w:rsidR="002E18C2" w:rsidRPr="00E37950" w:rsidSect="00F0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3B5B25"/>
    <w:rsid w:val="004134EF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81212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06EB0"/>
    <w:rsid w:val="00F5064A"/>
    <w:rsid w:val="00F70E0F"/>
    <w:rsid w:val="00F73B15"/>
    <w:rsid w:val="00F90AB0"/>
    <w:rsid w:val="00FB758E"/>
    <w:rsid w:val="00FC0667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2023-01-11T16:00:00Z</dcterms:created>
  <dcterms:modified xsi:type="dcterms:W3CDTF">2023-01-11T16:00:00Z</dcterms:modified>
</cp:coreProperties>
</file>