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85" w:rsidRPr="007D5785" w:rsidRDefault="007D5785" w:rsidP="007D5785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22"/>
          <w:lang w:val="zh-CN"/>
        </w:rPr>
      </w:pPr>
      <w:bookmarkStart w:id="0" w:name="_GoBack"/>
      <w:bookmarkEnd w:id="0"/>
      <w:r w:rsidRPr="007D5785">
        <w:rPr>
          <w:rFonts w:ascii="宋体" w:eastAsia="宋体" w:hAnsi="宋体" w:cs="宋体" w:hint="eastAsia"/>
          <w:b/>
          <w:color w:val="000000"/>
          <w:kern w:val="0"/>
          <w:sz w:val="22"/>
          <w:lang w:val="zh-CN"/>
        </w:rPr>
        <w:t>中欧基金管理有限公司</w:t>
      </w:r>
    </w:p>
    <w:p w:rsidR="007D5785" w:rsidRPr="007D5785" w:rsidRDefault="007D5785" w:rsidP="007D5785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宋体"/>
          <w:b/>
          <w:color w:val="000000"/>
          <w:kern w:val="0"/>
          <w:sz w:val="22"/>
          <w:lang w:val="zh-CN"/>
        </w:rPr>
      </w:pPr>
      <w:r w:rsidRPr="007D5785">
        <w:rPr>
          <w:rFonts w:ascii="宋体" w:eastAsia="宋体" w:hAnsi="宋体" w:cs="宋体" w:hint="eastAsia"/>
          <w:b/>
          <w:color w:val="000000"/>
          <w:kern w:val="0"/>
          <w:sz w:val="22"/>
          <w:lang w:val="zh-CN"/>
        </w:rPr>
        <w:t>关于旗下部分基金投资</w:t>
      </w:r>
      <w:r w:rsidRPr="007D5785">
        <w:rPr>
          <w:rFonts w:ascii="宋体" w:eastAsia="宋体" w:hAnsi="宋体" w:cs="宋体"/>
          <w:b/>
          <w:color w:val="000000"/>
          <w:kern w:val="0"/>
          <w:sz w:val="22"/>
          <w:lang w:val="zh-CN"/>
        </w:rPr>
        <w:t>君亭酒店 (301073)</w:t>
      </w:r>
      <w:r w:rsidRPr="007D5785">
        <w:rPr>
          <w:rFonts w:ascii="宋体" w:eastAsia="宋体" w:hAnsi="宋体" w:cs="宋体" w:hint="eastAsia"/>
          <w:b/>
          <w:color w:val="000000"/>
          <w:kern w:val="0"/>
          <w:sz w:val="22"/>
          <w:lang w:val="zh-CN"/>
        </w:rPr>
        <w:t>非公开发行股票的公告</w:t>
      </w:r>
    </w:p>
    <w:p w:rsidR="007D5785" w:rsidRPr="007D5785" w:rsidRDefault="007D5785" w:rsidP="007D578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2"/>
          <w:lang w:val="zh-CN"/>
        </w:rPr>
      </w:pPr>
    </w:p>
    <w:p w:rsidR="007D5785" w:rsidRPr="007D5785" w:rsidRDefault="007D5785" w:rsidP="007D578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2"/>
          <w:lang w:val="zh-CN"/>
        </w:rPr>
      </w:pP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 xml:space="preserve"> 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 xml:space="preserve">   </w:t>
      </w:r>
      <w:r w:rsidR="00473FEC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中欧基金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管理有限公司（以下简称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“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本公司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”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）旗下部分基金参加了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君亭酒店集团股份有限公司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（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君亭酒店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，代码：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301073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）非公开发行股票的认购。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君亭酒店集团股份有限公司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已发布《</w:t>
      </w:r>
      <w:r w:rsidRPr="007D5785">
        <w:rPr>
          <w:rFonts w:ascii="宋体" w:eastAsia="宋体" w:hAnsi="宋体" w:cs="宋体"/>
          <w:color w:val="000000"/>
          <w:kern w:val="0"/>
          <w:sz w:val="22"/>
          <w:lang w:val="zh-CN"/>
        </w:rPr>
        <w:t>君亭酒店:君亭酒店集团股份有限公司2022年度向特定对象发行A股股票新增股份变动报告及上市公告书</w:t>
      </w:r>
      <w:r w:rsidRPr="007D5785">
        <w:rPr>
          <w:rFonts w:ascii="宋体" w:eastAsia="宋体" w:hAnsi="宋体" w:cs="宋体" w:hint="eastAsia"/>
          <w:color w:val="000000"/>
          <w:kern w:val="0"/>
          <w:sz w:val="22"/>
          <w:lang w:val="zh-CN"/>
        </w:rPr>
        <w:t>》，公布了本次非公开发行结果。根据中国证监会《关于基金投资非公开发行股票等流通受限证券有关问题的通知》等有关规定，本公司现将旗下基金投资此非公开发行股票的相关信息公告如下：</w:t>
      </w:r>
    </w:p>
    <w:tbl>
      <w:tblPr>
        <w:tblW w:w="0" w:type="auto"/>
        <w:tblInd w:w="115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162"/>
        <w:gridCol w:w="1582"/>
        <w:gridCol w:w="1016"/>
        <w:gridCol w:w="1693"/>
        <w:gridCol w:w="1021"/>
        <w:gridCol w:w="704"/>
      </w:tblGrid>
      <w:tr w:rsidR="00AC567E" w:rsidRPr="000B44B1" w:rsidTr="00C23543">
        <w:trPr>
          <w:trHeight w:val="204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0B44B1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0B44B1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0B44B1" w:rsidRDefault="00AC567E" w:rsidP="00C23543">
            <w:pPr>
              <w:pStyle w:val="TableParagraph"/>
              <w:kinsoku w:val="0"/>
              <w:overflowPunct w:val="0"/>
              <w:spacing w:before="9"/>
              <w:rPr>
                <w:rFonts w:hAnsi="宋体" w:hint="default"/>
                <w:sz w:val="23"/>
                <w:szCs w:val="23"/>
              </w:rPr>
            </w:pPr>
          </w:p>
          <w:p w:rsidR="00AC567E" w:rsidRPr="000B44B1" w:rsidRDefault="00AC567E" w:rsidP="00C23543">
            <w:pPr>
              <w:pStyle w:val="TableParagraph"/>
              <w:kinsoku w:val="0"/>
              <w:overflowPunct w:val="0"/>
              <w:spacing w:before="1"/>
              <w:ind w:left="448"/>
              <w:rPr>
                <w:rFonts w:hAnsi="宋体" w:hint="default"/>
                <w:sz w:val="21"/>
                <w:szCs w:val="21"/>
              </w:rPr>
            </w:pPr>
            <w:r w:rsidRPr="000B44B1">
              <w:rPr>
                <w:rFonts w:hAnsi="宋体"/>
                <w:sz w:val="21"/>
                <w:szCs w:val="21"/>
              </w:rPr>
              <w:t>基金名称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0B44B1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0B44B1" w:rsidRDefault="00AC567E" w:rsidP="00C23543">
            <w:pPr>
              <w:pStyle w:val="TableParagraph"/>
              <w:kinsoku w:val="0"/>
              <w:overflowPunct w:val="0"/>
              <w:spacing w:before="10"/>
              <w:rPr>
                <w:rFonts w:hAnsi="宋体" w:hint="default"/>
                <w:sz w:val="27"/>
                <w:szCs w:val="27"/>
              </w:rPr>
            </w:pPr>
          </w:p>
          <w:p w:rsidR="00AC567E" w:rsidRPr="000B44B1" w:rsidRDefault="00AC567E" w:rsidP="00C23543">
            <w:pPr>
              <w:pStyle w:val="TableParagraph"/>
              <w:kinsoku w:val="0"/>
              <w:overflowPunct w:val="0"/>
              <w:ind w:left="160"/>
              <w:rPr>
                <w:rFonts w:hAnsi="宋体" w:hint="default"/>
                <w:sz w:val="21"/>
                <w:szCs w:val="21"/>
              </w:rPr>
            </w:pPr>
            <w:r w:rsidRPr="000B44B1">
              <w:rPr>
                <w:rFonts w:hAnsi="宋体"/>
                <w:sz w:val="21"/>
                <w:szCs w:val="21"/>
              </w:rPr>
              <w:t>认购数量</w:t>
            </w:r>
          </w:p>
          <w:p w:rsidR="00AC567E" w:rsidRPr="000B44B1" w:rsidRDefault="00AC567E" w:rsidP="00C23543">
            <w:pPr>
              <w:pStyle w:val="TableParagraph"/>
              <w:kinsoku w:val="0"/>
              <w:overflowPunct w:val="0"/>
              <w:spacing w:before="139"/>
              <w:ind w:left="263"/>
              <w:rPr>
                <w:rFonts w:hAnsi="宋体" w:hint="default"/>
                <w:sz w:val="21"/>
                <w:szCs w:val="21"/>
              </w:rPr>
            </w:pPr>
            <w:r w:rsidRPr="000B44B1">
              <w:rPr>
                <w:rFonts w:hAnsi="宋体"/>
                <w:sz w:val="21"/>
                <w:szCs w:val="21"/>
              </w:rPr>
              <w:t>（股）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0B44B1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0B44B1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0B44B1" w:rsidRDefault="00AC567E" w:rsidP="00C23543">
            <w:pPr>
              <w:pStyle w:val="TableParagraph"/>
              <w:kinsoku w:val="0"/>
              <w:overflowPunct w:val="0"/>
              <w:spacing w:before="9"/>
              <w:rPr>
                <w:rFonts w:hAnsi="宋体" w:hint="default"/>
                <w:sz w:val="23"/>
                <w:szCs w:val="23"/>
              </w:rPr>
            </w:pPr>
          </w:p>
          <w:p w:rsidR="00AC567E" w:rsidRPr="000B44B1" w:rsidRDefault="00AC567E" w:rsidP="00C23543">
            <w:pPr>
              <w:pStyle w:val="TableParagraph"/>
              <w:kinsoku w:val="0"/>
              <w:overflowPunct w:val="0"/>
              <w:spacing w:before="1"/>
              <w:ind w:left="88" w:right="77"/>
              <w:jc w:val="center"/>
              <w:rPr>
                <w:rFonts w:hAnsi="宋体" w:hint="default"/>
                <w:sz w:val="21"/>
                <w:szCs w:val="21"/>
              </w:rPr>
            </w:pPr>
            <w:r w:rsidRPr="000B44B1">
              <w:rPr>
                <w:rFonts w:hAnsi="宋体"/>
                <w:sz w:val="21"/>
                <w:szCs w:val="21"/>
              </w:rPr>
              <w:t>总成本（元）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0B44B1" w:rsidRDefault="00AC567E" w:rsidP="00C23543">
            <w:pPr>
              <w:pStyle w:val="TableParagraph"/>
              <w:kinsoku w:val="0"/>
              <w:overflowPunct w:val="0"/>
              <w:spacing w:before="12"/>
              <w:rPr>
                <w:rFonts w:hAnsi="宋体" w:hint="default"/>
                <w:sz w:val="15"/>
                <w:szCs w:val="15"/>
              </w:rPr>
            </w:pPr>
          </w:p>
          <w:p w:rsidR="00AC567E" w:rsidRPr="000B44B1" w:rsidRDefault="00AC567E" w:rsidP="00C23543">
            <w:pPr>
              <w:pStyle w:val="TableParagraph"/>
              <w:kinsoku w:val="0"/>
              <w:overflowPunct w:val="0"/>
              <w:spacing w:line="364" w:lineRule="auto"/>
              <w:ind w:left="191" w:right="179"/>
              <w:jc w:val="both"/>
              <w:rPr>
                <w:rFonts w:hAnsi="宋体" w:hint="default"/>
                <w:sz w:val="21"/>
                <w:szCs w:val="21"/>
              </w:rPr>
            </w:pPr>
            <w:r w:rsidRPr="000B44B1">
              <w:rPr>
                <w:rFonts w:hAnsi="宋体"/>
                <w:sz w:val="21"/>
                <w:szCs w:val="21"/>
              </w:rPr>
              <w:t>总成本占基金资产净值比例（%）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0B44B1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0B44B1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0B44B1" w:rsidRDefault="00AC567E" w:rsidP="00C23543">
            <w:pPr>
              <w:pStyle w:val="TableParagraph"/>
              <w:kinsoku w:val="0"/>
              <w:overflowPunct w:val="0"/>
              <w:spacing w:before="9"/>
              <w:rPr>
                <w:rFonts w:hAnsi="宋体" w:hint="default"/>
                <w:sz w:val="23"/>
                <w:szCs w:val="23"/>
              </w:rPr>
            </w:pPr>
          </w:p>
          <w:p w:rsidR="00AC567E" w:rsidRPr="000B44B1" w:rsidRDefault="00AC567E" w:rsidP="00C23543">
            <w:pPr>
              <w:pStyle w:val="TableParagraph"/>
              <w:kinsoku w:val="0"/>
              <w:overflowPunct w:val="0"/>
              <w:spacing w:before="1"/>
              <w:ind w:right="98"/>
              <w:jc w:val="right"/>
              <w:rPr>
                <w:rFonts w:hAnsi="宋体" w:hint="default"/>
                <w:sz w:val="21"/>
                <w:szCs w:val="21"/>
              </w:rPr>
            </w:pPr>
            <w:r w:rsidRPr="000B44B1">
              <w:rPr>
                <w:rFonts w:hAnsi="宋体"/>
                <w:sz w:val="21"/>
                <w:szCs w:val="21"/>
              </w:rPr>
              <w:t>账面价值（元）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0B44B1" w:rsidRDefault="00AC567E" w:rsidP="00C23543">
            <w:pPr>
              <w:pStyle w:val="TableParagraph"/>
              <w:kinsoku w:val="0"/>
              <w:overflowPunct w:val="0"/>
              <w:spacing w:before="1" w:line="364" w:lineRule="auto"/>
              <w:ind w:left="191" w:right="183"/>
              <w:jc w:val="both"/>
              <w:rPr>
                <w:rFonts w:hAnsi="宋体" w:hint="default"/>
                <w:sz w:val="21"/>
                <w:szCs w:val="21"/>
              </w:rPr>
            </w:pPr>
            <w:r w:rsidRPr="000B44B1">
              <w:rPr>
                <w:rFonts w:hAnsi="宋体"/>
                <w:sz w:val="21"/>
                <w:szCs w:val="21"/>
              </w:rPr>
              <w:t>账面价值占基金资产净值比</w:t>
            </w:r>
          </w:p>
          <w:p w:rsidR="00AC567E" w:rsidRPr="000B44B1" w:rsidRDefault="00AC567E" w:rsidP="00C23543">
            <w:pPr>
              <w:pStyle w:val="TableParagraph"/>
              <w:kinsoku w:val="0"/>
              <w:overflowPunct w:val="0"/>
              <w:spacing w:line="268" w:lineRule="exact"/>
              <w:ind w:left="5"/>
              <w:jc w:val="center"/>
              <w:rPr>
                <w:rFonts w:hAnsi="宋体" w:hint="default"/>
                <w:sz w:val="21"/>
                <w:szCs w:val="21"/>
              </w:rPr>
            </w:pPr>
            <w:r w:rsidRPr="000B44B1">
              <w:rPr>
                <w:rFonts w:hAnsi="宋体"/>
                <w:sz w:val="21"/>
                <w:szCs w:val="21"/>
              </w:rPr>
              <w:t>例（%）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7E" w:rsidRPr="000B44B1" w:rsidRDefault="00AC567E" w:rsidP="00C23543">
            <w:pPr>
              <w:pStyle w:val="TableParagraph"/>
              <w:kinsoku w:val="0"/>
              <w:overflowPunct w:val="0"/>
              <w:rPr>
                <w:rFonts w:hAnsi="宋体" w:hint="default"/>
                <w:sz w:val="20"/>
                <w:szCs w:val="20"/>
              </w:rPr>
            </w:pPr>
          </w:p>
          <w:p w:rsidR="00AC567E" w:rsidRPr="000B44B1" w:rsidRDefault="00AC567E" w:rsidP="00C23543">
            <w:pPr>
              <w:pStyle w:val="TableParagraph"/>
              <w:kinsoku w:val="0"/>
              <w:overflowPunct w:val="0"/>
              <w:spacing w:before="10"/>
              <w:rPr>
                <w:rFonts w:hAnsi="宋体" w:hint="default"/>
                <w:sz w:val="27"/>
                <w:szCs w:val="27"/>
              </w:rPr>
            </w:pPr>
          </w:p>
          <w:p w:rsidR="00AC567E" w:rsidRPr="000B44B1" w:rsidRDefault="00AC567E" w:rsidP="00C23543">
            <w:pPr>
              <w:pStyle w:val="TableParagraph"/>
              <w:kinsoku w:val="0"/>
              <w:overflowPunct w:val="0"/>
              <w:spacing w:before="1" w:line="364" w:lineRule="auto"/>
              <w:ind w:left="241" w:right="131" w:hanging="104"/>
              <w:rPr>
                <w:rFonts w:hAnsi="宋体" w:hint="default"/>
                <w:sz w:val="21"/>
                <w:szCs w:val="21"/>
              </w:rPr>
            </w:pPr>
            <w:r w:rsidRPr="000B44B1">
              <w:rPr>
                <w:rFonts w:hAnsi="宋体"/>
                <w:sz w:val="21"/>
                <w:szCs w:val="21"/>
              </w:rPr>
              <w:t>锁定期</w:t>
            </w:r>
          </w:p>
        </w:tc>
      </w:tr>
      <w:tr w:rsidR="0039044D" w:rsidRPr="000B44B1">
        <w:tc>
          <w:tcPr>
            <w:tcW w:w="1740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中欧精选灵活配置定期开放混合型发起式证券投资基金</w:t>
            </w:r>
          </w:p>
        </w:tc>
        <w:tc>
          <w:tcPr>
            <w:tcW w:w="1162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273,084</w:t>
            </w:r>
          </w:p>
        </w:tc>
        <w:tc>
          <w:tcPr>
            <w:tcW w:w="1582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15,999,991.56</w:t>
            </w:r>
          </w:p>
        </w:tc>
        <w:tc>
          <w:tcPr>
            <w:tcW w:w="1016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0.2887</w:t>
            </w:r>
          </w:p>
        </w:tc>
        <w:tc>
          <w:tcPr>
            <w:tcW w:w="1693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16,808,320.20</w:t>
            </w:r>
          </w:p>
        </w:tc>
        <w:tc>
          <w:tcPr>
            <w:tcW w:w="1021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0.3033</w:t>
            </w:r>
          </w:p>
        </w:tc>
        <w:tc>
          <w:tcPr>
            <w:tcW w:w="704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6个月</w:t>
            </w:r>
          </w:p>
        </w:tc>
      </w:tr>
      <w:tr w:rsidR="0039044D" w:rsidRPr="000B44B1">
        <w:tc>
          <w:tcPr>
            <w:tcW w:w="1740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中欧时代先锋股票型发起式证券投资基金</w:t>
            </w:r>
          </w:p>
        </w:tc>
        <w:tc>
          <w:tcPr>
            <w:tcW w:w="1162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785,116</w:t>
            </w:r>
          </w:p>
        </w:tc>
        <w:tc>
          <w:tcPr>
            <w:tcW w:w="1582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45,999,946.44</w:t>
            </w:r>
          </w:p>
        </w:tc>
        <w:tc>
          <w:tcPr>
            <w:tcW w:w="1016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0.2955</w:t>
            </w:r>
          </w:p>
        </w:tc>
        <w:tc>
          <w:tcPr>
            <w:tcW w:w="1693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48,323,889.80</w:t>
            </w:r>
          </w:p>
        </w:tc>
        <w:tc>
          <w:tcPr>
            <w:tcW w:w="1021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0.3104</w:t>
            </w:r>
          </w:p>
        </w:tc>
        <w:tc>
          <w:tcPr>
            <w:tcW w:w="704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6个月</w:t>
            </w:r>
          </w:p>
        </w:tc>
      </w:tr>
      <w:tr w:rsidR="0039044D" w:rsidRPr="000B44B1">
        <w:tc>
          <w:tcPr>
            <w:tcW w:w="1740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中欧匠心两年持有期混合型证券投资基金</w:t>
            </w:r>
          </w:p>
        </w:tc>
        <w:tc>
          <w:tcPr>
            <w:tcW w:w="1162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204,813</w:t>
            </w:r>
          </w:p>
        </w:tc>
        <w:tc>
          <w:tcPr>
            <w:tcW w:w="1582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11,999,993.67</w:t>
            </w:r>
          </w:p>
        </w:tc>
        <w:tc>
          <w:tcPr>
            <w:tcW w:w="1016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0.2834</w:t>
            </w:r>
          </w:p>
        </w:tc>
        <w:tc>
          <w:tcPr>
            <w:tcW w:w="1693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12,606,240.15</w:t>
            </w:r>
          </w:p>
        </w:tc>
        <w:tc>
          <w:tcPr>
            <w:tcW w:w="1021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0.2977</w:t>
            </w:r>
          </w:p>
        </w:tc>
        <w:tc>
          <w:tcPr>
            <w:tcW w:w="704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6个月</w:t>
            </w:r>
          </w:p>
        </w:tc>
      </w:tr>
      <w:tr w:rsidR="0039044D" w:rsidRPr="000B44B1">
        <w:tc>
          <w:tcPr>
            <w:tcW w:w="1740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中欧洞见一年持有期混合型证券投资基金</w:t>
            </w:r>
          </w:p>
        </w:tc>
        <w:tc>
          <w:tcPr>
            <w:tcW w:w="1162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153,610</w:t>
            </w:r>
          </w:p>
        </w:tc>
        <w:tc>
          <w:tcPr>
            <w:tcW w:w="1582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9,000,009.90</w:t>
            </w:r>
          </w:p>
        </w:tc>
        <w:tc>
          <w:tcPr>
            <w:tcW w:w="1016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0.2935</w:t>
            </w:r>
          </w:p>
        </w:tc>
        <w:tc>
          <w:tcPr>
            <w:tcW w:w="1693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9,454,695.50</w:t>
            </w:r>
          </w:p>
        </w:tc>
        <w:tc>
          <w:tcPr>
            <w:tcW w:w="1021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0.3083</w:t>
            </w:r>
          </w:p>
        </w:tc>
        <w:tc>
          <w:tcPr>
            <w:tcW w:w="704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6个月</w:t>
            </w:r>
          </w:p>
        </w:tc>
      </w:tr>
      <w:tr w:rsidR="0039044D" w:rsidRPr="000B44B1">
        <w:tc>
          <w:tcPr>
            <w:tcW w:w="1740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中欧新趋势混合型证券投资基金（LOF）</w:t>
            </w:r>
          </w:p>
        </w:tc>
        <w:tc>
          <w:tcPr>
            <w:tcW w:w="1162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443,762</w:t>
            </w:r>
          </w:p>
        </w:tc>
        <w:tc>
          <w:tcPr>
            <w:tcW w:w="1582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26,000,015.58</w:t>
            </w:r>
          </w:p>
        </w:tc>
        <w:tc>
          <w:tcPr>
            <w:tcW w:w="1016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0.3119</w:t>
            </w:r>
          </w:p>
        </w:tc>
        <w:tc>
          <w:tcPr>
            <w:tcW w:w="1693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27,313,551.10</w:t>
            </w:r>
          </w:p>
        </w:tc>
        <w:tc>
          <w:tcPr>
            <w:tcW w:w="1021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0.3276</w:t>
            </w:r>
          </w:p>
        </w:tc>
        <w:tc>
          <w:tcPr>
            <w:tcW w:w="704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6个月</w:t>
            </w:r>
          </w:p>
        </w:tc>
      </w:tr>
      <w:tr w:rsidR="0039044D" w:rsidRPr="000B44B1">
        <w:tc>
          <w:tcPr>
            <w:tcW w:w="1740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中欧新蓝筹灵活配置混合型证券投资基金</w:t>
            </w:r>
          </w:p>
        </w:tc>
        <w:tc>
          <w:tcPr>
            <w:tcW w:w="1162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614,439</w:t>
            </w:r>
          </w:p>
        </w:tc>
        <w:tc>
          <w:tcPr>
            <w:tcW w:w="1582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35,999,981.01</w:t>
            </w:r>
          </w:p>
        </w:tc>
        <w:tc>
          <w:tcPr>
            <w:tcW w:w="1016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0.2990</w:t>
            </w:r>
          </w:p>
        </w:tc>
        <w:tc>
          <w:tcPr>
            <w:tcW w:w="1693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37,818,720.45</w:t>
            </w:r>
          </w:p>
        </w:tc>
        <w:tc>
          <w:tcPr>
            <w:tcW w:w="1021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0.3141</w:t>
            </w:r>
          </w:p>
        </w:tc>
        <w:tc>
          <w:tcPr>
            <w:tcW w:w="704" w:type="dxa"/>
          </w:tcPr>
          <w:p w:rsidR="0039044D" w:rsidRPr="00697DBF" w:rsidRDefault="00697DBF">
            <w:pPr>
              <w:rPr>
                <w:rFonts w:ascii="宋体" w:eastAsia="宋体" w:hAnsi="宋体"/>
              </w:rPr>
            </w:pPr>
            <w:r w:rsidRPr="00697DBF">
              <w:rPr>
                <w:rFonts w:ascii="宋体" w:eastAsia="宋体" w:hAnsi="宋体"/>
              </w:rPr>
              <w:t>6个月</w:t>
            </w:r>
          </w:p>
        </w:tc>
      </w:tr>
    </w:tbl>
    <w:p w:rsidR="007D5785" w:rsidRDefault="007D5785" w:rsidP="007D5785">
      <w:pPr>
        <w:pStyle w:val="a4"/>
        <w:kinsoku w:val="0"/>
        <w:overflowPunct w:val="0"/>
        <w:spacing w:before="1" w:line="367" w:lineRule="auto"/>
        <w:ind w:right="38" w:firstLineChars="400" w:firstLine="784"/>
        <w:rPr>
          <w:rFonts w:hint="default"/>
          <w:spacing w:val="-12"/>
          <w:sz w:val="21"/>
          <w:szCs w:val="21"/>
        </w:rPr>
      </w:pPr>
      <w:r>
        <w:rPr>
          <w:spacing w:val="-7"/>
          <w:sz w:val="21"/>
          <w:szCs w:val="21"/>
        </w:rPr>
        <w:t>注：基金资产净值、账面价值为</w:t>
      </w:r>
      <w:r>
        <w:rPr>
          <w:rFonts w:hint="default"/>
          <w:noProof/>
          <w:sz w:val="21"/>
          <w:szCs w:val="21"/>
        </w:rPr>
        <w:t>2023年01月03日</w:t>
      </w:r>
      <w:r w:rsidRPr="00F845BC">
        <w:rPr>
          <w:spacing w:val="-12"/>
          <w:sz w:val="21"/>
          <w:szCs w:val="21"/>
        </w:rPr>
        <w:t>数据。</w:t>
      </w:r>
    </w:p>
    <w:p w:rsidR="007D5785" w:rsidRDefault="007D5785" w:rsidP="007D5785">
      <w:pPr>
        <w:spacing w:line="360" w:lineRule="auto"/>
        <w:rPr>
          <w:rFonts w:ascii="宋体" w:eastAsia="宋体" w:hAnsi="宋体"/>
        </w:rPr>
      </w:pPr>
    </w:p>
    <w:p w:rsidR="00DD7C3B" w:rsidRDefault="007D5785" w:rsidP="007D5785">
      <w:pPr>
        <w:spacing w:line="360" w:lineRule="auto"/>
        <w:ind w:firstLine="420"/>
        <w:rPr>
          <w:rFonts w:ascii="宋体" w:eastAsia="宋体" w:hAnsi="宋体"/>
        </w:rPr>
      </w:pPr>
      <w:r>
        <w:rPr>
          <w:rFonts w:ascii="宋体" w:eastAsia="宋体" w:hAnsi="宋体"/>
        </w:rPr>
        <w:t>特此公告。</w:t>
      </w:r>
    </w:p>
    <w:p w:rsidR="007D5785" w:rsidRDefault="007D5785" w:rsidP="007D5785">
      <w:pPr>
        <w:spacing w:line="360" w:lineRule="auto"/>
        <w:ind w:firstLine="420"/>
        <w:rPr>
          <w:rFonts w:ascii="宋体" w:eastAsia="宋体" w:hAnsi="宋体"/>
        </w:rPr>
      </w:pPr>
    </w:p>
    <w:p w:rsidR="007D5785" w:rsidRDefault="007D5785" w:rsidP="007D5785">
      <w:pPr>
        <w:spacing w:line="360" w:lineRule="auto"/>
        <w:ind w:firstLine="420"/>
        <w:jc w:val="right"/>
        <w:rPr>
          <w:rFonts w:ascii="宋体" w:eastAsia="宋体" w:hAnsi="宋体"/>
        </w:rPr>
      </w:pPr>
      <w:r>
        <w:rPr>
          <w:rFonts w:ascii="宋体" w:eastAsia="宋体" w:hAnsi="宋体"/>
        </w:rPr>
        <w:lastRenderedPageBreak/>
        <w:t>中欧基金管理有限公司</w:t>
      </w:r>
    </w:p>
    <w:p w:rsidR="007D5785" w:rsidRPr="007D5785" w:rsidRDefault="007D5785" w:rsidP="007D5785">
      <w:pPr>
        <w:spacing w:line="360" w:lineRule="auto"/>
        <w:ind w:firstLine="420"/>
        <w:jc w:val="right"/>
        <w:rPr>
          <w:rFonts w:ascii="宋体" w:eastAsia="宋体" w:hAnsi="宋体"/>
        </w:rPr>
      </w:pPr>
      <w:r>
        <w:rPr>
          <w:rFonts w:ascii="宋体" w:eastAsia="宋体" w:hAnsi="宋体"/>
        </w:rPr>
        <w:t>2023年01月05日</w:t>
      </w:r>
    </w:p>
    <w:sectPr w:rsidR="007D5785" w:rsidRPr="007D5785" w:rsidSect="00E168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DBF" w:rsidRDefault="00697DBF" w:rsidP="00697DBF">
      <w:r>
        <w:separator/>
      </w:r>
    </w:p>
  </w:endnote>
  <w:endnote w:type="continuationSeparator" w:id="0">
    <w:p w:rsidR="00697DBF" w:rsidRDefault="00697DBF" w:rsidP="00697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DBF" w:rsidRDefault="00697DBF" w:rsidP="00697DBF">
      <w:r>
        <w:separator/>
      </w:r>
    </w:p>
  </w:footnote>
  <w:footnote w:type="continuationSeparator" w:id="0">
    <w:p w:rsidR="00697DBF" w:rsidRDefault="00697DBF" w:rsidP="00697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85"/>
    <w:rsid w:val="000B44B1"/>
    <w:rsid w:val="002E6098"/>
    <w:rsid w:val="003558AD"/>
    <w:rsid w:val="0039044D"/>
    <w:rsid w:val="003D6D91"/>
    <w:rsid w:val="00473FEC"/>
    <w:rsid w:val="00596ED6"/>
    <w:rsid w:val="00697DBF"/>
    <w:rsid w:val="007D5785"/>
    <w:rsid w:val="0095530C"/>
    <w:rsid w:val="00AC567E"/>
    <w:rsid w:val="00C85DEC"/>
    <w:rsid w:val="00DD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D5785"/>
    <w:pPr>
      <w:autoSpaceDE w:val="0"/>
      <w:autoSpaceDN w:val="0"/>
      <w:adjustRightInd w:val="0"/>
      <w:jc w:val="left"/>
    </w:pPr>
    <w:rPr>
      <w:rFonts w:ascii="宋体" w:eastAsia="宋体" w:hAnsi="Times New Roman" w:cs="宋体" w:hint="eastAsia"/>
      <w:kern w:val="0"/>
      <w:sz w:val="24"/>
      <w:szCs w:val="24"/>
    </w:rPr>
  </w:style>
  <w:style w:type="paragraph" w:styleId="a4">
    <w:name w:val="Body Text"/>
    <w:basedOn w:val="a"/>
    <w:link w:val="Char"/>
    <w:uiPriority w:val="1"/>
    <w:qFormat/>
    <w:rsid w:val="007D5785"/>
    <w:pPr>
      <w:autoSpaceDE w:val="0"/>
      <w:autoSpaceDN w:val="0"/>
      <w:adjustRightInd w:val="0"/>
      <w:jc w:val="left"/>
    </w:pPr>
    <w:rPr>
      <w:rFonts w:ascii="宋体" w:eastAsia="宋体" w:hAnsi="Times New Roman" w:cs="宋体" w:hint="eastAsia"/>
      <w:kern w:val="0"/>
      <w:sz w:val="22"/>
    </w:rPr>
  </w:style>
  <w:style w:type="character" w:customStyle="1" w:styleId="Char">
    <w:name w:val="正文文本 Char"/>
    <w:link w:val="a4"/>
    <w:uiPriority w:val="1"/>
    <w:rsid w:val="007D5785"/>
    <w:rPr>
      <w:rFonts w:ascii="宋体" w:eastAsia="宋体" w:hAnsi="Times New Roman" w:cs="宋体"/>
      <w:kern w:val="0"/>
      <w:sz w:val="22"/>
    </w:rPr>
  </w:style>
  <w:style w:type="paragraph" w:styleId="a5">
    <w:name w:val="Balloon Text"/>
    <w:basedOn w:val="a"/>
    <w:link w:val="Char0"/>
    <w:uiPriority w:val="99"/>
    <w:semiHidden/>
    <w:unhideWhenUsed/>
    <w:rsid w:val="000B44B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B44B1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97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97DBF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97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97D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4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王啸（监察稽核部）</dc:creator>
  <cp:lastModifiedBy>ZHONGM</cp:lastModifiedBy>
  <cp:revision>2</cp:revision>
  <dcterms:created xsi:type="dcterms:W3CDTF">2023-01-04T16:01:00Z</dcterms:created>
  <dcterms:modified xsi:type="dcterms:W3CDTF">2023-01-04T16:01:00Z</dcterms:modified>
</cp:coreProperties>
</file>