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EA" w:rsidRPr="009B4F78" w:rsidRDefault="001003EA" w:rsidP="009B4F78">
      <w:pPr>
        <w:adjustRightInd w:val="0"/>
        <w:ind w:firstLineChars="100" w:firstLine="440"/>
        <w:jc w:val="center"/>
        <w:rPr>
          <w:rFonts w:ascii="方正小标宋简体" w:eastAsia="方正小标宋简体"/>
          <w:sz w:val="44"/>
          <w:szCs w:val="44"/>
        </w:rPr>
      </w:pPr>
      <w:r w:rsidRPr="009B4F78">
        <w:rPr>
          <w:rFonts w:ascii="方正小标宋简体" w:eastAsia="方正小标宋简体" w:hint="eastAsia"/>
          <w:sz w:val="44"/>
          <w:szCs w:val="44"/>
        </w:rPr>
        <w:t>银河基金管理有限公司</w:t>
      </w:r>
    </w:p>
    <w:p w:rsidR="009B4F78" w:rsidRPr="001003EA" w:rsidRDefault="001003EA" w:rsidP="009B4F78">
      <w:pPr>
        <w:adjustRightInd w:val="0"/>
        <w:ind w:firstLineChars="100" w:firstLine="440"/>
        <w:jc w:val="center"/>
        <w:rPr>
          <w:b/>
          <w:sz w:val="24"/>
          <w:szCs w:val="24"/>
        </w:rPr>
      </w:pPr>
      <w:r w:rsidRPr="001003EA">
        <w:rPr>
          <w:rFonts w:ascii="方正小标宋简体" w:eastAsia="方正小标宋简体" w:hint="eastAsia"/>
          <w:sz w:val="44"/>
          <w:szCs w:val="44"/>
        </w:rPr>
        <w:t>关于更新</w:t>
      </w:r>
      <w:r w:rsidRPr="009B4F78">
        <w:rPr>
          <w:rFonts w:ascii="方正小标宋简体" w:eastAsia="方正小标宋简体" w:hint="eastAsia"/>
          <w:sz w:val="44"/>
          <w:szCs w:val="44"/>
        </w:rPr>
        <w:t>旗下部分</w:t>
      </w:r>
      <w:r w:rsidRPr="001003EA">
        <w:rPr>
          <w:rFonts w:ascii="方正小标宋简体" w:eastAsia="方正小标宋简体" w:hint="eastAsia"/>
          <w:sz w:val="44"/>
          <w:szCs w:val="44"/>
        </w:rPr>
        <w:t>基金风险等级的公告</w:t>
      </w:r>
    </w:p>
    <w:p w:rsidR="00F330EE" w:rsidRPr="009B4F78" w:rsidRDefault="001003EA" w:rsidP="002C7990">
      <w:pPr>
        <w:widowControl/>
        <w:shd w:val="clear" w:color="auto" w:fill="FFFFFF"/>
        <w:spacing w:before="180" w:after="180" w:line="480" w:lineRule="auto"/>
        <w:ind w:firstLineChars="200" w:firstLine="640"/>
        <w:rPr>
          <w:rFonts w:ascii="仿宋" w:eastAsia="仿宋" w:hAnsi="仿宋" w:cs="宋体"/>
          <w:color w:val="444444"/>
          <w:kern w:val="0"/>
          <w:sz w:val="32"/>
          <w:szCs w:val="32"/>
        </w:rPr>
      </w:pPr>
      <w:r w:rsidRPr="009B4F78">
        <w:rPr>
          <w:rFonts w:ascii="仿宋" w:eastAsia="仿宋" w:hAnsi="仿宋" w:cs="宋体" w:hint="eastAsia"/>
          <w:color w:val="444444"/>
          <w:kern w:val="0"/>
          <w:sz w:val="32"/>
          <w:szCs w:val="32"/>
        </w:rPr>
        <w:t>根据《证券期货投资者适当性管理办法》、《基金募集机构投资者适当性管理实施指引（试行）》等相关规定，对</w:t>
      </w:r>
      <w:r w:rsidR="002619CF">
        <w:rPr>
          <w:rFonts w:ascii="仿宋" w:eastAsia="仿宋" w:hAnsi="仿宋" w:cs="宋体" w:hint="eastAsia"/>
          <w:color w:val="444444"/>
          <w:kern w:val="0"/>
          <w:sz w:val="32"/>
          <w:szCs w:val="32"/>
        </w:rPr>
        <w:t>银河基金管理有限公司（以下简称“</w:t>
      </w:r>
      <w:r w:rsidRPr="009B4F78">
        <w:rPr>
          <w:rFonts w:ascii="仿宋" w:eastAsia="仿宋" w:hAnsi="仿宋" w:cs="宋体" w:hint="eastAsia"/>
          <w:color w:val="444444"/>
          <w:kern w:val="0"/>
          <w:sz w:val="32"/>
          <w:szCs w:val="32"/>
        </w:rPr>
        <w:t>本公司</w:t>
      </w:r>
      <w:r w:rsidR="002619CF">
        <w:rPr>
          <w:rFonts w:ascii="仿宋" w:eastAsia="仿宋" w:hAnsi="仿宋" w:cs="宋体" w:hint="eastAsia"/>
          <w:color w:val="444444"/>
          <w:kern w:val="0"/>
          <w:sz w:val="32"/>
          <w:szCs w:val="32"/>
        </w:rPr>
        <w:t>”）</w:t>
      </w:r>
      <w:r w:rsidRPr="009B4F78">
        <w:rPr>
          <w:rFonts w:ascii="仿宋" w:eastAsia="仿宋" w:hAnsi="仿宋" w:cs="宋体" w:hint="eastAsia"/>
          <w:color w:val="444444"/>
          <w:kern w:val="0"/>
          <w:sz w:val="32"/>
          <w:szCs w:val="32"/>
        </w:rPr>
        <w:t>旗下部分公募基金产品风险等级</w:t>
      </w:r>
      <w:r w:rsidR="00BC275F">
        <w:rPr>
          <w:rFonts w:ascii="仿宋" w:eastAsia="仿宋" w:hAnsi="仿宋" w:cs="宋体" w:hint="eastAsia"/>
          <w:color w:val="444444"/>
          <w:kern w:val="0"/>
          <w:sz w:val="32"/>
          <w:szCs w:val="32"/>
        </w:rPr>
        <w:t>进行了</w:t>
      </w:r>
      <w:r w:rsidR="002619CF">
        <w:rPr>
          <w:rFonts w:ascii="仿宋" w:eastAsia="仿宋" w:hAnsi="仿宋" w:cs="宋体" w:hint="eastAsia"/>
          <w:color w:val="444444"/>
          <w:kern w:val="0"/>
          <w:sz w:val="32"/>
          <w:szCs w:val="32"/>
        </w:rPr>
        <w:t>评估</w:t>
      </w:r>
      <w:r w:rsidR="00856C5B">
        <w:rPr>
          <w:rFonts w:ascii="仿宋" w:eastAsia="仿宋" w:hAnsi="仿宋" w:cs="宋体" w:hint="eastAsia"/>
          <w:color w:val="444444"/>
          <w:kern w:val="0"/>
          <w:sz w:val="32"/>
          <w:szCs w:val="32"/>
        </w:rPr>
        <w:t>。</w:t>
      </w:r>
      <w:r w:rsidR="002619CF">
        <w:rPr>
          <w:rFonts w:ascii="仿宋" w:eastAsia="仿宋" w:hAnsi="仿宋" w:cs="宋体" w:hint="eastAsia"/>
          <w:color w:val="444444"/>
          <w:kern w:val="0"/>
          <w:sz w:val="32"/>
          <w:szCs w:val="32"/>
        </w:rPr>
        <w:t>根据此次</w:t>
      </w:r>
      <w:r w:rsidR="002619CF" w:rsidRPr="002619CF">
        <w:rPr>
          <w:rFonts w:ascii="仿宋" w:eastAsia="仿宋" w:hAnsi="仿宋" w:cs="宋体" w:hint="eastAsia"/>
          <w:color w:val="444444"/>
          <w:kern w:val="0"/>
          <w:sz w:val="32"/>
          <w:szCs w:val="32"/>
        </w:rPr>
        <w:t>产品风险等级评估结果</w:t>
      </w:r>
      <w:r w:rsidR="002619CF">
        <w:rPr>
          <w:rFonts w:ascii="仿宋" w:eastAsia="仿宋" w:hAnsi="仿宋" w:cs="宋体" w:hint="eastAsia"/>
          <w:color w:val="444444"/>
          <w:kern w:val="0"/>
          <w:sz w:val="32"/>
          <w:szCs w:val="32"/>
        </w:rPr>
        <w:t>，自2022年</w:t>
      </w:r>
      <w:r w:rsidR="002C7990">
        <w:rPr>
          <w:rFonts w:ascii="仿宋" w:eastAsia="仿宋" w:hAnsi="仿宋" w:cs="宋体" w:hint="eastAsia"/>
          <w:color w:val="444444"/>
          <w:kern w:val="0"/>
          <w:sz w:val="32"/>
          <w:szCs w:val="32"/>
        </w:rPr>
        <w:t>9</w:t>
      </w:r>
      <w:r w:rsidR="002619CF">
        <w:rPr>
          <w:rFonts w:ascii="仿宋" w:eastAsia="仿宋" w:hAnsi="仿宋" w:cs="宋体" w:hint="eastAsia"/>
          <w:color w:val="444444"/>
          <w:kern w:val="0"/>
          <w:sz w:val="32"/>
          <w:szCs w:val="32"/>
        </w:rPr>
        <w:t>月</w:t>
      </w:r>
      <w:r w:rsidR="002C7990">
        <w:rPr>
          <w:rFonts w:ascii="仿宋" w:eastAsia="仿宋" w:hAnsi="仿宋" w:cs="宋体" w:hint="eastAsia"/>
          <w:color w:val="444444"/>
          <w:kern w:val="0"/>
          <w:sz w:val="32"/>
          <w:szCs w:val="32"/>
        </w:rPr>
        <w:t>30</w:t>
      </w:r>
      <w:r w:rsidR="002619CF">
        <w:rPr>
          <w:rFonts w:ascii="仿宋" w:eastAsia="仿宋" w:hAnsi="仿宋" w:cs="宋体" w:hint="eastAsia"/>
          <w:color w:val="444444"/>
          <w:kern w:val="0"/>
          <w:sz w:val="32"/>
          <w:szCs w:val="32"/>
        </w:rPr>
        <w:t>日起调整旗下部分基金风险等级，具体情况如下：</w:t>
      </w:r>
      <w:r w:rsidR="002619CF" w:rsidRPr="009B4F78" w:rsidDel="002619CF">
        <w:rPr>
          <w:rFonts w:ascii="仿宋" w:eastAsia="仿宋" w:hAnsi="仿宋" w:cs="宋体" w:hint="eastAsia"/>
          <w:color w:val="444444"/>
          <w:kern w:val="0"/>
          <w:sz w:val="32"/>
          <w:szCs w:val="32"/>
        </w:rPr>
        <w:t xml:space="preserve"> </w:t>
      </w:r>
    </w:p>
    <w:tbl>
      <w:tblPr>
        <w:tblW w:w="9498" w:type="dxa"/>
        <w:tblInd w:w="-431" w:type="dxa"/>
        <w:shd w:val="clear" w:color="auto" w:fill="FFFFFF" w:themeFill="background1"/>
        <w:tblLook w:val="04A0"/>
      </w:tblPr>
      <w:tblGrid>
        <w:gridCol w:w="710"/>
        <w:gridCol w:w="1276"/>
        <w:gridCol w:w="3899"/>
        <w:gridCol w:w="2338"/>
        <w:gridCol w:w="1275"/>
      </w:tblGrid>
      <w:tr w:rsidR="00BC275F" w:rsidRPr="00BC275F" w:rsidTr="00BC275F">
        <w:trPr>
          <w:trHeight w:val="390"/>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330EE" w:rsidRPr="00BC275F" w:rsidRDefault="00F330EE" w:rsidP="009B4F78">
            <w:pPr>
              <w:widowControl/>
              <w:jc w:val="center"/>
              <w:rPr>
                <w:rFonts w:ascii="仿宋" w:eastAsia="仿宋" w:hAnsi="仿宋" w:cs="Arial"/>
                <w:b/>
                <w:bCs/>
                <w:kern w:val="0"/>
                <w:sz w:val="24"/>
                <w:szCs w:val="28"/>
              </w:rPr>
            </w:pPr>
            <w:r w:rsidRPr="00BC275F">
              <w:rPr>
                <w:rFonts w:ascii="仿宋" w:eastAsia="仿宋" w:hAnsi="仿宋" w:cs="Arial" w:hint="eastAsia"/>
                <w:b/>
                <w:bCs/>
                <w:kern w:val="0"/>
                <w:sz w:val="24"/>
                <w:szCs w:val="28"/>
              </w:rPr>
              <w:t>序号</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9B4F78">
            <w:pPr>
              <w:widowControl/>
              <w:jc w:val="center"/>
              <w:rPr>
                <w:rFonts w:ascii="仿宋" w:eastAsia="仿宋" w:hAnsi="仿宋" w:cs="Arial"/>
                <w:b/>
                <w:bCs/>
                <w:kern w:val="0"/>
                <w:sz w:val="24"/>
                <w:szCs w:val="28"/>
              </w:rPr>
            </w:pPr>
            <w:r w:rsidRPr="00F330EE">
              <w:rPr>
                <w:rFonts w:ascii="仿宋" w:eastAsia="仿宋" w:hAnsi="仿宋" w:cs="Arial" w:hint="eastAsia"/>
                <w:b/>
                <w:bCs/>
                <w:kern w:val="0"/>
                <w:sz w:val="24"/>
                <w:szCs w:val="28"/>
              </w:rPr>
              <w:t>基金代码</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9B4F78">
            <w:pPr>
              <w:widowControl/>
              <w:jc w:val="center"/>
              <w:rPr>
                <w:rFonts w:ascii="仿宋" w:eastAsia="仿宋" w:hAnsi="仿宋" w:cs="Arial"/>
                <w:b/>
                <w:bCs/>
                <w:kern w:val="0"/>
                <w:sz w:val="24"/>
                <w:szCs w:val="28"/>
              </w:rPr>
            </w:pPr>
            <w:r w:rsidRPr="00F330EE">
              <w:rPr>
                <w:rFonts w:ascii="仿宋" w:eastAsia="仿宋" w:hAnsi="仿宋" w:cs="Arial" w:hint="eastAsia"/>
                <w:b/>
                <w:bCs/>
                <w:kern w:val="0"/>
                <w:sz w:val="24"/>
                <w:szCs w:val="28"/>
              </w:rPr>
              <w:t>基金全称</w:t>
            </w:r>
          </w:p>
        </w:tc>
        <w:tc>
          <w:tcPr>
            <w:tcW w:w="233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9B4F78">
            <w:pPr>
              <w:widowControl/>
              <w:jc w:val="center"/>
              <w:rPr>
                <w:rFonts w:ascii="仿宋" w:eastAsia="仿宋" w:hAnsi="仿宋" w:cs="Arial"/>
                <w:b/>
                <w:bCs/>
                <w:kern w:val="0"/>
                <w:sz w:val="24"/>
                <w:szCs w:val="28"/>
              </w:rPr>
            </w:pPr>
            <w:r w:rsidRPr="00F330EE">
              <w:rPr>
                <w:rFonts w:ascii="仿宋" w:eastAsia="仿宋" w:hAnsi="仿宋" w:cs="Arial" w:hint="eastAsia"/>
                <w:b/>
                <w:bCs/>
                <w:kern w:val="0"/>
                <w:sz w:val="24"/>
                <w:szCs w:val="28"/>
              </w:rPr>
              <w:t>基金简称</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9B4F78">
            <w:pPr>
              <w:widowControl/>
              <w:jc w:val="center"/>
              <w:rPr>
                <w:rFonts w:ascii="仿宋" w:eastAsia="仿宋" w:hAnsi="仿宋" w:cs="Arial"/>
                <w:b/>
                <w:bCs/>
                <w:kern w:val="0"/>
                <w:sz w:val="24"/>
                <w:szCs w:val="28"/>
              </w:rPr>
            </w:pPr>
            <w:r w:rsidRPr="00F330EE">
              <w:rPr>
                <w:rFonts w:ascii="仿宋" w:eastAsia="仿宋" w:hAnsi="仿宋" w:cs="Arial" w:hint="eastAsia"/>
                <w:b/>
                <w:bCs/>
                <w:kern w:val="0"/>
                <w:sz w:val="24"/>
                <w:szCs w:val="28"/>
              </w:rPr>
              <w:t>风险</w:t>
            </w:r>
            <w:r w:rsidRPr="00BC275F">
              <w:rPr>
                <w:rFonts w:ascii="仿宋" w:eastAsia="仿宋" w:hAnsi="仿宋" w:cs="Arial" w:hint="eastAsia"/>
                <w:b/>
                <w:bCs/>
                <w:kern w:val="0"/>
                <w:sz w:val="24"/>
                <w:szCs w:val="28"/>
              </w:rPr>
              <w:t>等级</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004250</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银河量化优选混合型证券投资基金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银河量化优选混合</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中高风险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4</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005053</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银河量化价值混合型证券投资基金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银河量化价值混合A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中高风险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4</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013026</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银河量化价值混合型证券投资基金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银河量化价值混合C</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中高风险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4</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005211</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银河智慧主题灵活配置混合型证券投资基金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银河智慧混合</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中高风险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4</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006128</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银河和美生活主题混合型证券投资基金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银河和美生活混合A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中高风险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4</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015665</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银河和美生活主题混合型证券投资</w:t>
            </w:r>
            <w:r w:rsidRPr="00F330EE">
              <w:rPr>
                <w:rFonts w:ascii="仿宋" w:eastAsia="仿宋" w:hAnsi="仿宋" w:cs="Arial" w:hint="eastAsia"/>
                <w:kern w:val="0"/>
                <w:sz w:val="24"/>
                <w:szCs w:val="28"/>
              </w:rPr>
              <w:lastRenderedPageBreak/>
              <w:t>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lastRenderedPageBreak/>
              <w:t>银河和美生活混合</w:t>
            </w:r>
            <w:r w:rsidRPr="00F330EE">
              <w:rPr>
                <w:rFonts w:ascii="仿宋" w:eastAsia="仿宋" w:hAnsi="仿宋" w:cs="Arial" w:hint="eastAsia"/>
                <w:kern w:val="0"/>
                <w:sz w:val="24"/>
                <w:szCs w:val="28"/>
              </w:rPr>
              <w:lastRenderedPageBreak/>
              <w:t>C</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lastRenderedPageBreak/>
              <w:t>中高风险</w:t>
            </w:r>
            <w:r w:rsidRPr="00BC275F">
              <w:rPr>
                <w:rFonts w:ascii="仿宋" w:eastAsia="仿宋" w:hAnsi="仿宋" w:cs="Arial" w:hint="eastAsia"/>
                <w:kern w:val="0"/>
                <w:sz w:val="24"/>
                <w:szCs w:val="28"/>
              </w:rPr>
              <w:lastRenderedPageBreak/>
              <w:t>（R</w:t>
            </w:r>
            <w:r w:rsidRPr="00BC275F">
              <w:rPr>
                <w:rFonts w:ascii="仿宋" w:eastAsia="仿宋" w:hAnsi="仿宋" w:cs="Arial"/>
                <w:kern w:val="0"/>
                <w:sz w:val="24"/>
                <w:szCs w:val="28"/>
              </w:rPr>
              <w:t>4</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007203</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银河新动能混合型证券投资基金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银河新动能混合</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中高风险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4</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010898</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银河产业动力混合型证券投资基金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银河产业动力混合</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中高风险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4</w:t>
            </w:r>
            <w:r w:rsidRPr="00BC275F">
              <w:rPr>
                <w:rFonts w:ascii="仿宋" w:eastAsia="仿宋" w:hAnsi="仿宋" w:cs="Arial" w:hint="eastAsia"/>
                <w:kern w:val="0"/>
                <w:sz w:val="24"/>
                <w:szCs w:val="28"/>
              </w:rPr>
              <w:t>）</w:t>
            </w:r>
          </w:p>
        </w:tc>
      </w:tr>
      <w:tr w:rsidR="00BC275F" w:rsidRPr="00BC275F" w:rsidTr="000C761C">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150103</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银河银泰理财分红证券投资基金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银河银泰混合</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中高风险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4</w:t>
            </w:r>
            <w:r w:rsidRPr="00BC275F">
              <w:rPr>
                <w:rFonts w:ascii="仿宋" w:eastAsia="仿宋" w:hAnsi="仿宋" w:cs="Arial" w:hint="eastAsia"/>
                <w:kern w:val="0"/>
                <w:sz w:val="24"/>
                <w:szCs w:val="28"/>
              </w:rPr>
              <w:t>）</w:t>
            </w:r>
          </w:p>
        </w:tc>
      </w:tr>
      <w:tr w:rsidR="00BC275F" w:rsidRPr="00BC275F" w:rsidTr="000C761C">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151001</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银河稳健证券投资基金</w:t>
            </w:r>
          </w:p>
        </w:tc>
        <w:tc>
          <w:tcPr>
            <w:tcW w:w="233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银河稳健混合</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中高风险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4</w:t>
            </w:r>
            <w:r w:rsidRPr="00BC275F">
              <w:rPr>
                <w:rFonts w:ascii="仿宋" w:eastAsia="仿宋" w:hAnsi="仿宋" w:cs="Arial" w:hint="eastAsia"/>
                <w:kern w:val="0"/>
                <w:sz w:val="24"/>
                <w:szCs w:val="28"/>
              </w:rPr>
              <w:t>）</w:t>
            </w:r>
          </w:p>
        </w:tc>
      </w:tr>
      <w:tr w:rsidR="00BC275F" w:rsidRPr="00BC275F" w:rsidTr="000C761C">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519610</w:t>
            </w:r>
          </w:p>
        </w:tc>
        <w:tc>
          <w:tcPr>
            <w:tcW w:w="38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银河旺利灵活配置混合型证券投资基金</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银河旺利混合A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3</w:t>
            </w:r>
            <w:r w:rsidRPr="00BC275F">
              <w:rPr>
                <w:rFonts w:ascii="仿宋" w:eastAsia="仿宋" w:hAnsi="仿宋" w:cs="Arial" w:hint="eastAsia"/>
                <w:kern w:val="0"/>
                <w:sz w:val="24"/>
                <w:szCs w:val="28"/>
              </w:rPr>
              <w:t>）</w:t>
            </w:r>
          </w:p>
        </w:tc>
      </w:tr>
      <w:tr w:rsidR="00BC275F" w:rsidRPr="00BC275F" w:rsidTr="000C761C">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519611</w:t>
            </w:r>
          </w:p>
        </w:tc>
        <w:tc>
          <w:tcPr>
            <w:tcW w:w="38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银河旺利灵活配置混合型证券投资基金</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w:t>
            </w:r>
            <w:bookmarkStart w:id="0" w:name="_GoBack"/>
            <w:bookmarkEnd w:id="0"/>
            <w:r w:rsidRPr="00F330EE">
              <w:rPr>
                <w:rFonts w:ascii="仿宋" w:eastAsia="仿宋" w:hAnsi="仿宋" w:cs="Arial" w:hint="eastAsia"/>
                <w:kern w:val="0"/>
                <w:sz w:val="24"/>
                <w:szCs w:val="28"/>
              </w:rPr>
              <w:t>旺利混合C</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3</w:t>
            </w:r>
            <w:r w:rsidRPr="00BC275F">
              <w:rPr>
                <w:rFonts w:ascii="仿宋" w:eastAsia="仿宋" w:hAnsi="仿宋" w:cs="Arial" w:hint="eastAsia"/>
                <w:kern w:val="0"/>
                <w:sz w:val="24"/>
                <w:szCs w:val="28"/>
              </w:rPr>
              <w:t>）</w:t>
            </w:r>
          </w:p>
        </w:tc>
      </w:tr>
      <w:tr w:rsidR="00BC275F" w:rsidRPr="00BC275F" w:rsidTr="000C761C">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519612</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银河旺利灵活配置混合型证券投资基金</w:t>
            </w:r>
          </w:p>
        </w:tc>
        <w:tc>
          <w:tcPr>
            <w:tcW w:w="233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银河旺利混合I</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3</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519616</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银河君信灵活配置混合型证券投资基金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银河君信混合A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3</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519617</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银河君信灵活配置混合型证券投资基金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银河君信混合C</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3</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519618</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银河君信灵活配置混合型证券投资基金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银河君信混合I</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3</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519627</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银河君润灵活配置混合型证券投资</w:t>
            </w:r>
            <w:r w:rsidRPr="00F330EE">
              <w:rPr>
                <w:rFonts w:ascii="仿宋" w:eastAsia="仿宋" w:hAnsi="仿宋" w:cs="Arial" w:hint="eastAsia"/>
                <w:kern w:val="0"/>
                <w:sz w:val="24"/>
                <w:szCs w:val="28"/>
              </w:rPr>
              <w:lastRenderedPageBreak/>
              <w:t>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lastRenderedPageBreak/>
              <w:t>银河君润混合A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中风险</w:t>
            </w:r>
            <w:r w:rsidRPr="00BC275F">
              <w:rPr>
                <w:rFonts w:ascii="仿宋" w:eastAsia="仿宋" w:hAnsi="仿宋" w:cs="Arial" w:hint="eastAsia"/>
                <w:kern w:val="0"/>
                <w:sz w:val="24"/>
                <w:szCs w:val="28"/>
              </w:rPr>
              <w:lastRenderedPageBreak/>
              <w:t>（R</w:t>
            </w:r>
            <w:r w:rsidRPr="00BC275F">
              <w:rPr>
                <w:rFonts w:ascii="仿宋" w:eastAsia="仿宋" w:hAnsi="仿宋" w:cs="Arial"/>
                <w:kern w:val="0"/>
                <w:sz w:val="24"/>
                <w:szCs w:val="28"/>
              </w:rPr>
              <w:t>3</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519628</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银河君润灵活配置混合型证券投资基金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银河君润混合C</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3</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519640</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银河鸿利灵活配置混合型证券投资基金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银河鸿利混合A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3</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519641</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银河鸿利灵活配置混合型证券投资基金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银河鸿利混合C</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3</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519647</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银河鸿利灵活配置混合型证券投资基金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银河鸿利混合I</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3</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519644</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银河智联主题灵活配置混合型证券投资基金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银河智联混合</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中高风险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4</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519652</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银河鑫利灵活配置混合型证券投资基金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银河鑫利混合A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3</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519653</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银河鑫利灵活配置混合型证券投资基金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银河鑫利混合C</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3</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519646</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银河鑫利灵活配置混合型证券投资基金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银河鑫利混合I</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3</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519656</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银河灵活配置混合型证券投资基金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银河灵活配置混合A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3</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519657</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银河灵活配置混合型证券投资基金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银河灵活配置混合C</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3</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519668</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银河竞争优势成长混合型证券投资基金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银河成长混合</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中高风险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4</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519672</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银河蓝筹精选混合型证券投资基金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银河蓝筹混合A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中高风险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4</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015669</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银河蓝筹精选混合型证券投资基金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银河蓝筹混合C</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中高风险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4</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519678</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银河消费驱动混合型证券投资基金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银河消费混合A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中高风险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4</w:t>
            </w:r>
            <w:r w:rsidRPr="00BC275F">
              <w:rPr>
                <w:rFonts w:ascii="仿宋" w:eastAsia="仿宋" w:hAnsi="仿宋" w:cs="Arial" w:hint="eastAsia"/>
                <w:kern w:val="0"/>
                <w:sz w:val="24"/>
                <w:szCs w:val="28"/>
              </w:rPr>
              <w:t>）</w:t>
            </w:r>
          </w:p>
        </w:tc>
      </w:tr>
      <w:tr w:rsidR="00BC275F" w:rsidRPr="00BC275F" w:rsidTr="00BC275F">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EE" w:rsidRPr="00BC275F" w:rsidRDefault="00F330EE" w:rsidP="00F330EE">
            <w:pPr>
              <w:pStyle w:val="a5"/>
              <w:widowControl/>
              <w:numPr>
                <w:ilvl w:val="0"/>
                <w:numId w:val="1"/>
              </w:numPr>
              <w:ind w:firstLineChars="0"/>
              <w:jc w:val="left"/>
              <w:rPr>
                <w:rFonts w:ascii="仿宋" w:eastAsia="仿宋" w:hAnsi="仿宋" w:cs="Arial"/>
                <w:kern w:val="0"/>
                <w:sz w:val="24"/>
                <w:szCs w:val="2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015668</w:t>
            </w: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银河消费驱动混合型证券投资基金</w:t>
            </w:r>
          </w:p>
        </w:tc>
        <w:tc>
          <w:tcPr>
            <w:tcW w:w="2338"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银河消费混合C</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F330EE" w:rsidRPr="00F330EE" w:rsidRDefault="00F330EE" w:rsidP="00F330EE">
            <w:pPr>
              <w:widowControl/>
              <w:jc w:val="left"/>
              <w:rPr>
                <w:rFonts w:ascii="仿宋" w:eastAsia="仿宋" w:hAnsi="仿宋" w:cs="Arial"/>
                <w:kern w:val="0"/>
                <w:sz w:val="24"/>
                <w:szCs w:val="28"/>
              </w:rPr>
            </w:pPr>
            <w:r w:rsidRPr="00F330EE">
              <w:rPr>
                <w:rFonts w:ascii="仿宋" w:eastAsia="仿宋" w:hAnsi="仿宋" w:cs="Arial" w:hint="eastAsia"/>
                <w:kern w:val="0"/>
                <w:sz w:val="24"/>
                <w:szCs w:val="28"/>
              </w:rPr>
              <w:t>中高风险</w:t>
            </w:r>
            <w:r w:rsidRPr="00BC275F">
              <w:rPr>
                <w:rFonts w:ascii="仿宋" w:eastAsia="仿宋" w:hAnsi="仿宋" w:cs="Arial" w:hint="eastAsia"/>
                <w:kern w:val="0"/>
                <w:sz w:val="24"/>
                <w:szCs w:val="28"/>
              </w:rPr>
              <w:t>（R</w:t>
            </w:r>
            <w:r w:rsidRPr="00BC275F">
              <w:rPr>
                <w:rFonts w:ascii="仿宋" w:eastAsia="仿宋" w:hAnsi="仿宋" w:cs="Arial"/>
                <w:kern w:val="0"/>
                <w:sz w:val="24"/>
                <w:szCs w:val="28"/>
              </w:rPr>
              <w:t>4</w:t>
            </w:r>
            <w:r w:rsidRPr="00BC275F">
              <w:rPr>
                <w:rFonts w:ascii="仿宋" w:eastAsia="仿宋" w:hAnsi="仿宋" w:cs="Arial" w:hint="eastAsia"/>
                <w:kern w:val="0"/>
                <w:sz w:val="24"/>
                <w:szCs w:val="28"/>
              </w:rPr>
              <w:t>）</w:t>
            </w:r>
          </w:p>
        </w:tc>
      </w:tr>
    </w:tbl>
    <w:p w:rsidR="00BC275F" w:rsidRPr="001003EA" w:rsidRDefault="00BC275F" w:rsidP="002C7990">
      <w:pPr>
        <w:widowControl/>
        <w:shd w:val="clear" w:color="auto" w:fill="FFFFFF"/>
        <w:spacing w:before="180" w:after="180" w:line="480" w:lineRule="auto"/>
        <w:ind w:firstLineChars="200" w:firstLine="640"/>
        <w:rPr>
          <w:rFonts w:ascii="仿宋" w:eastAsia="仿宋" w:hAnsi="仿宋" w:cs="宋体"/>
          <w:color w:val="444444"/>
          <w:kern w:val="0"/>
          <w:sz w:val="32"/>
          <w:szCs w:val="32"/>
        </w:rPr>
      </w:pPr>
      <w:r w:rsidRPr="009B4F78">
        <w:rPr>
          <w:rFonts w:ascii="仿宋" w:eastAsia="仿宋" w:hAnsi="仿宋" w:cs="宋体" w:hint="eastAsia"/>
          <w:color w:val="444444"/>
          <w:kern w:val="0"/>
          <w:sz w:val="32"/>
          <w:szCs w:val="32"/>
        </w:rPr>
        <w:t>投资者可登录本公司网站</w:t>
      </w:r>
      <w:r w:rsidRPr="009B4F78">
        <w:rPr>
          <w:rFonts w:ascii="仿宋" w:eastAsia="仿宋" w:hAnsi="仿宋" w:cs="宋体"/>
          <w:color w:val="444444"/>
          <w:kern w:val="0"/>
          <w:sz w:val="32"/>
          <w:szCs w:val="32"/>
        </w:rPr>
        <w:t>www.galaxyasset.com</w:t>
      </w:r>
      <w:r w:rsidRPr="009B4F78">
        <w:rPr>
          <w:rFonts w:ascii="仿宋" w:eastAsia="仿宋" w:hAnsi="仿宋" w:cs="宋体" w:hint="eastAsia"/>
          <w:color w:val="444444"/>
          <w:kern w:val="0"/>
          <w:sz w:val="32"/>
          <w:szCs w:val="32"/>
        </w:rPr>
        <w:t>查询、了解</w:t>
      </w:r>
      <w:r>
        <w:rPr>
          <w:rFonts w:ascii="仿宋" w:eastAsia="仿宋" w:hAnsi="仿宋" w:cs="宋体" w:hint="eastAsia"/>
          <w:color w:val="444444"/>
          <w:kern w:val="0"/>
          <w:sz w:val="32"/>
          <w:szCs w:val="32"/>
        </w:rPr>
        <w:t>本公司</w:t>
      </w:r>
      <w:r w:rsidR="002619CF">
        <w:rPr>
          <w:rFonts w:ascii="仿宋" w:eastAsia="仿宋" w:hAnsi="仿宋" w:cs="宋体" w:hint="eastAsia"/>
          <w:color w:val="444444"/>
          <w:kern w:val="0"/>
          <w:sz w:val="32"/>
          <w:szCs w:val="32"/>
        </w:rPr>
        <w:t>旗下</w:t>
      </w:r>
      <w:r>
        <w:rPr>
          <w:rFonts w:ascii="仿宋" w:eastAsia="仿宋" w:hAnsi="仿宋" w:cs="宋体" w:hint="eastAsia"/>
          <w:color w:val="444444"/>
          <w:kern w:val="0"/>
          <w:sz w:val="32"/>
          <w:szCs w:val="32"/>
        </w:rPr>
        <w:t>基金</w:t>
      </w:r>
      <w:r w:rsidRPr="009B4F78">
        <w:rPr>
          <w:rFonts w:ascii="仿宋" w:eastAsia="仿宋" w:hAnsi="仿宋" w:cs="宋体" w:hint="eastAsia"/>
          <w:color w:val="444444"/>
          <w:kern w:val="0"/>
          <w:sz w:val="32"/>
          <w:szCs w:val="32"/>
        </w:rPr>
        <w:t>的风险等级</w:t>
      </w:r>
      <w:r w:rsidR="003068C3">
        <w:rPr>
          <w:rFonts w:ascii="仿宋" w:eastAsia="仿宋" w:hAnsi="仿宋" w:cs="宋体" w:hint="eastAsia"/>
          <w:color w:val="444444"/>
          <w:kern w:val="0"/>
          <w:sz w:val="32"/>
          <w:szCs w:val="32"/>
        </w:rPr>
        <w:t>评价</w:t>
      </w:r>
      <w:r w:rsidR="00B036DB" w:rsidRPr="00C721A0">
        <w:rPr>
          <w:rFonts w:ascii="仿宋" w:eastAsia="仿宋" w:hAnsi="仿宋" w:cs="宋体" w:hint="eastAsia"/>
          <w:color w:val="444444"/>
          <w:kern w:val="0"/>
          <w:sz w:val="32"/>
          <w:szCs w:val="32"/>
        </w:rPr>
        <w:t>结果</w:t>
      </w:r>
      <w:r w:rsidRPr="009B4F78">
        <w:rPr>
          <w:rFonts w:ascii="仿宋" w:eastAsia="仿宋" w:hAnsi="仿宋" w:cs="宋体" w:hint="eastAsia"/>
          <w:color w:val="444444"/>
          <w:kern w:val="0"/>
          <w:sz w:val="32"/>
          <w:szCs w:val="32"/>
        </w:rPr>
        <w:t>，或拨打本公司客服客户服务电话</w:t>
      </w:r>
      <w:r w:rsidRPr="009B4F78">
        <w:rPr>
          <w:rFonts w:ascii="仿宋" w:eastAsia="仿宋" w:hAnsi="仿宋" w:cs="宋体"/>
          <w:color w:val="444444"/>
          <w:kern w:val="0"/>
          <w:sz w:val="32"/>
          <w:szCs w:val="32"/>
        </w:rPr>
        <w:t>400-820-0860</w:t>
      </w:r>
      <w:r w:rsidRPr="009B4F78">
        <w:rPr>
          <w:rFonts w:ascii="仿宋" w:eastAsia="仿宋" w:hAnsi="仿宋" w:cs="宋体" w:hint="eastAsia"/>
          <w:color w:val="444444"/>
          <w:kern w:val="0"/>
          <w:sz w:val="32"/>
          <w:szCs w:val="32"/>
        </w:rPr>
        <w:t>咨询详情。</w:t>
      </w:r>
    </w:p>
    <w:p w:rsidR="009B4F78" w:rsidRDefault="009B4F78" w:rsidP="002C7990">
      <w:pPr>
        <w:widowControl/>
        <w:shd w:val="clear" w:color="auto" w:fill="FFFFFF"/>
        <w:spacing w:before="180" w:after="180" w:line="480" w:lineRule="auto"/>
        <w:ind w:firstLineChars="200" w:firstLine="640"/>
        <w:rPr>
          <w:rFonts w:ascii="仿宋" w:eastAsia="仿宋" w:hAnsi="仿宋" w:cs="宋体"/>
          <w:color w:val="444444"/>
          <w:kern w:val="0"/>
          <w:sz w:val="32"/>
          <w:szCs w:val="32"/>
        </w:rPr>
      </w:pPr>
      <w:r>
        <w:rPr>
          <w:rFonts w:ascii="仿宋" w:eastAsia="仿宋" w:hAnsi="仿宋" w:cs="宋体" w:hint="eastAsia"/>
          <w:color w:val="444444"/>
          <w:kern w:val="0"/>
          <w:sz w:val="32"/>
          <w:szCs w:val="32"/>
        </w:rPr>
        <w:t>风险提示：</w:t>
      </w:r>
    </w:p>
    <w:p w:rsidR="00C721A0" w:rsidRPr="002609F8" w:rsidRDefault="002619CF" w:rsidP="002C7990">
      <w:pPr>
        <w:widowControl/>
        <w:shd w:val="clear" w:color="auto" w:fill="FFFFFF"/>
        <w:spacing w:before="180" w:after="180" w:line="480" w:lineRule="auto"/>
        <w:ind w:firstLineChars="200" w:firstLine="640"/>
        <w:rPr>
          <w:rFonts w:ascii="仿宋" w:eastAsia="仿宋" w:hAnsi="仿宋" w:cs="宋体"/>
          <w:color w:val="444444"/>
          <w:kern w:val="0"/>
          <w:sz w:val="32"/>
          <w:szCs w:val="32"/>
        </w:rPr>
      </w:pPr>
      <w:r>
        <w:rPr>
          <w:rFonts w:ascii="仿宋" w:eastAsia="仿宋" w:hAnsi="仿宋" w:cs="宋体" w:hint="eastAsia"/>
          <w:color w:val="444444"/>
          <w:kern w:val="0"/>
          <w:sz w:val="32"/>
          <w:szCs w:val="32"/>
        </w:rPr>
        <w:t>1、</w:t>
      </w:r>
      <w:r w:rsidR="003068C3">
        <w:rPr>
          <w:rFonts w:ascii="仿宋" w:eastAsia="仿宋" w:hAnsi="仿宋" w:cs="宋体" w:hint="eastAsia"/>
          <w:color w:val="444444"/>
          <w:kern w:val="0"/>
          <w:sz w:val="32"/>
          <w:szCs w:val="32"/>
        </w:rPr>
        <w:t>本</w:t>
      </w:r>
      <w:r w:rsidR="00C721A0" w:rsidRPr="00C721A0">
        <w:rPr>
          <w:rFonts w:ascii="仿宋" w:eastAsia="仿宋" w:hAnsi="仿宋" w:cs="宋体" w:hint="eastAsia"/>
          <w:color w:val="444444"/>
          <w:kern w:val="0"/>
          <w:sz w:val="32"/>
          <w:szCs w:val="32"/>
        </w:rPr>
        <w:t>公司旗下基金产品风险等级评级结果是根据法律法规、本公司内部评级标准评定，充分考虑了多种要素，与相关基金合同、招募说明书（如有）、产品资料概要（如有）中的风险收益特征或风险状况主要基于基金投资方向与策略特点的概括性表述不同，并与风险收益特征或风险状况表述并不必然一致或存在对应关系。</w:t>
      </w:r>
      <w:r w:rsidR="002609F8" w:rsidRPr="001003EA">
        <w:rPr>
          <w:rFonts w:ascii="仿宋" w:eastAsia="仿宋" w:hAnsi="仿宋" w:cs="宋体" w:hint="eastAsia"/>
          <w:color w:val="444444"/>
          <w:kern w:val="0"/>
          <w:sz w:val="32"/>
          <w:szCs w:val="32"/>
        </w:rPr>
        <w:t>本公司对旗下基金产品或者服务的风险等级划分有最终解释权。</w:t>
      </w:r>
    </w:p>
    <w:p w:rsidR="009B4F78" w:rsidRDefault="00194D24" w:rsidP="002C7990">
      <w:pPr>
        <w:widowControl/>
        <w:shd w:val="clear" w:color="auto" w:fill="FFFFFF"/>
        <w:spacing w:before="180" w:after="180" w:line="480" w:lineRule="auto"/>
        <w:ind w:firstLineChars="200" w:firstLine="640"/>
        <w:rPr>
          <w:rFonts w:ascii="仿宋" w:eastAsia="仿宋" w:hAnsi="仿宋" w:cs="宋体"/>
          <w:color w:val="444444"/>
          <w:kern w:val="0"/>
          <w:sz w:val="32"/>
          <w:szCs w:val="32"/>
        </w:rPr>
      </w:pPr>
      <w:r>
        <w:rPr>
          <w:rFonts w:ascii="仿宋" w:eastAsia="仿宋" w:hAnsi="仿宋" w:cs="宋体" w:hint="eastAsia"/>
          <w:color w:val="444444"/>
          <w:kern w:val="0"/>
          <w:sz w:val="32"/>
          <w:szCs w:val="32"/>
        </w:rPr>
        <w:t>2、</w:t>
      </w:r>
      <w:r w:rsidR="00C5527C" w:rsidRPr="00C5527C">
        <w:rPr>
          <w:rFonts w:ascii="仿宋" w:eastAsia="仿宋" w:hAnsi="仿宋" w:cs="宋体" w:hint="eastAsia"/>
          <w:color w:val="444444"/>
          <w:kern w:val="0"/>
          <w:sz w:val="32"/>
          <w:szCs w:val="32"/>
        </w:rPr>
        <w:t>投资者购买基金后，所购买的基金产品风险等级可能因市场或运作情况而发生调整，并可能超出投资者自身风险承受能力，从而可能产生不利后果和损失，投资者应及时关注产品风险等级调整的通知并谨慎决策，以确保自身的投资决定与可承受的投资风险程度等实际情况一致。</w:t>
      </w:r>
      <w:r w:rsidR="00C5527C" w:rsidRPr="00C5527C">
        <w:rPr>
          <w:rFonts w:ascii="仿宋" w:eastAsia="仿宋" w:hAnsi="仿宋" w:cs="宋体"/>
          <w:color w:val="444444"/>
          <w:kern w:val="0"/>
          <w:sz w:val="32"/>
          <w:szCs w:val="32"/>
        </w:rPr>
        <w:cr/>
      </w:r>
      <w:r w:rsidR="00C5527C">
        <w:rPr>
          <w:rFonts w:ascii="仿宋" w:eastAsia="仿宋" w:hAnsi="仿宋" w:cs="宋体"/>
          <w:color w:val="444444"/>
          <w:kern w:val="0"/>
          <w:sz w:val="32"/>
          <w:szCs w:val="32"/>
        </w:rPr>
        <w:t xml:space="preserve">    </w:t>
      </w:r>
      <w:r>
        <w:rPr>
          <w:rFonts w:ascii="仿宋" w:eastAsia="仿宋" w:hAnsi="仿宋" w:cs="宋体" w:hint="eastAsia"/>
          <w:color w:val="444444"/>
          <w:kern w:val="0"/>
          <w:sz w:val="32"/>
          <w:szCs w:val="32"/>
        </w:rPr>
        <w:t>3、</w:t>
      </w:r>
      <w:r w:rsidR="009B4F78" w:rsidRPr="009B4F78">
        <w:rPr>
          <w:rFonts w:ascii="仿宋" w:eastAsia="仿宋" w:hAnsi="仿宋" w:cs="宋体" w:hint="eastAsia"/>
          <w:color w:val="444444"/>
          <w:kern w:val="0"/>
          <w:sz w:val="32"/>
          <w:szCs w:val="32"/>
        </w:rPr>
        <w:t>销售机构（包括基金管理人直销机构和代销机构）根据投资者适当性法律法规对基金进行风险评价，不同的销售机构采用的评价方法不同，因此不同销售机构对基金的风险等级评价结果可能存在不同。</w:t>
      </w:r>
    </w:p>
    <w:p w:rsidR="002619CF" w:rsidRDefault="00194D24" w:rsidP="002C7990">
      <w:pPr>
        <w:widowControl/>
        <w:shd w:val="clear" w:color="auto" w:fill="FFFFFF"/>
        <w:spacing w:before="180" w:after="180" w:line="480" w:lineRule="auto"/>
        <w:ind w:firstLineChars="200" w:firstLine="640"/>
        <w:rPr>
          <w:rFonts w:ascii="仿宋" w:eastAsia="仿宋" w:hAnsi="仿宋" w:cs="宋体"/>
          <w:color w:val="444444"/>
          <w:kern w:val="0"/>
          <w:sz w:val="32"/>
          <w:szCs w:val="32"/>
        </w:rPr>
      </w:pPr>
      <w:r>
        <w:rPr>
          <w:rFonts w:ascii="仿宋" w:eastAsia="仿宋" w:hAnsi="仿宋" w:cs="宋体" w:hint="eastAsia"/>
          <w:color w:val="444444"/>
          <w:kern w:val="0"/>
          <w:sz w:val="32"/>
          <w:szCs w:val="32"/>
        </w:rPr>
        <w:t>4</w:t>
      </w:r>
      <w:r w:rsidR="002619CF">
        <w:rPr>
          <w:rFonts w:ascii="仿宋" w:eastAsia="仿宋" w:hAnsi="仿宋" w:cs="宋体" w:hint="eastAsia"/>
          <w:color w:val="444444"/>
          <w:kern w:val="0"/>
          <w:sz w:val="32"/>
          <w:szCs w:val="32"/>
        </w:rPr>
        <w:t>、</w:t>
      </w:r>
      <w:r w:rsidR="009B4F78" w:rsidRPr="009B4F78">
        <w:rPr>
          <w:rFonts w:ascii="仿宋" w:eastAsia="仿宋" w:hAnsi="仿宋" w:cs="宋体" w:hint="eastAsia"/>
          <w:color w:val="444444"/>
          <w:kern w:val="0"/>
          <w:sz w:val="32"/>
          <w:szCs w:val="32"/>
        </w:rPr>
        <w:t>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根据自身的投资目的、投资期限、投资经验、资产状况等因素充分考虑自身的风险承受能力，在了解产品情况及销售适当性意见的基础上，理性判断并谨慎做出投资决策。</w:t>
      </w:r>
    </w:p>
    <w:p w:rsidR="001003EA" w:rsidRPr="001003EA" w:rsidRDefault="001003EA" w:rsidP="002C7990">
      <w:pPr>
        <w:widowControl/>
        <w:shd w:val="clear" w:color="auto" w:fill="FFFFFF"/>
        <w:spacing w:before="180" w:after="180" w:line="480" w:lineRule="auto"/>
        <w:ind w:firstLineChars="200" w:firstLine="640"/>
        <w:rPr>
          <w:rFonts w:ascii="仿宋" w:eastAsia="仿宋" w:hAnsi="仿宋" w:cs="宋体"/>
          <w:color w:val="444444"/>
          <w:kern w:val="0"/>
          <w:sz w:val="32"/>
          <w:szCs w:val="32"/>
        </w:rPr>
      </w:pPr>
      <w:r w:rsidRPr="001003EA">
        <w:rPr>
          <w:rFonts w:ascii="仿宋" w:eastAsia="仿宋" w:hAnsi="仿宋" w:cs="宋体" w:hint="eastAsia"/>
          <w:color w:val="444444"/>
          <w:kern w:val="0"/>
          <w:sz w:val="32"/>
          <w:szCs w:val="32"/>
        </w:rPr>
        <w:t>特此公告</w:t>
      </w:r>
      <w:r w:rsidR="009B4F78">
        <w:rPr>
          <w:rFonts w:ascii="仿宋" w:eastAsia="仿宋" w:hAnsi="仿宋" w:cs="宋体" w:hint="eastAsia"/>
          <w:color w:val="444444"/>
          <w:kern w:val="0"/>
          <w:sz w:val="32"/>
          <w:szCs w:val="32"/>
        </w:rPr>
        <w:t>。</w:t>
      </w:r>
    </w:p>
    <w:p w:rsidR="001003EA" w:rsidRPr="001003EA" w:rsidRDefault="001003EA" w:rsidP="009B4F78">
      <w:pPr>
        <w:widowControl/>
        <w:shd w:val="clear" w:color="auto" w:fill="FFFFFF"/>
        <w:spacing w:before="180" w:after="180" w:line="480" w:lineRule="auto"/>
        <w:jc w:val="right"/>
        <w:rPr>
          <w:rFonts w:ascii="仿宋" w:eastAsia="仿宋" w:hAnsi="仿宋" w:cs="宋体"/>
          <w:color w:val="444444"/>
          <w:kern w:val="0"/>
          <w:sz w:val="32"/>
          <w:szCs w:val="32"/>
        </w:rPr>
      </w:pPr>
      <w:r w:rsidRPr="009B4F78">
        <w:rPr>
          <w:rFonts w:ascii="仿宋" w:eastAsia="仿宋" w:hAnsi="仿宋" w:cs="宋体" w:hint="eastAsia"/>
          <w:color w:val="444444"/>
          <w:kern w:val="0"/>
          <w:sz w:val="32"/>
          <w:szCs w:val="32"/>
        </w:rPr>
        <w:t>银河基金管理有限公司</w:t>
      </w:r>
    </w:p>
    <w:p w:rsidR="005C23DC" w:rsidRPr="00BC275F" w:rsidRDefault="001003EA" w:rsidP="00BC275F">
      <w:pPr>
        <w:widowControl/>
        <w:shd w:val="clear" w:color="auto" w:fill="FFFFFF"/>
        <w:spacing w:before="180" w:after="180" w:line="480" w:lineRule="auto"/>
        <w:jc w:val="right"/>
        <w:rPr>
          <w:rFonts w:ascii="仿宋" w:eastAsia="仿宋" w:hAnsi="仿宋" w:cs="宋体"/>
          <w:color w:val="444444"/>
          <w:kern w:val="0"/>
          <w:sz w:val="32"/>
          <w:szCs w:val="32"/>
        </w:rPr>
      </w:pPr>
      <w:r w:rsidRPr="009B4F78">
        <w:rPr>
          <w:rFonts w:ascii="仿宋" w:eastAsia="仿宋" w:hAnsi="仿宋" w:cs="宋体" w:hint="eastAsia"/>
          <w:color w:val="444444"/>
          <w:kern w:val="0"/>
          <w:sz w:val="32"/>
          <w:szCs w:val="32"/>
        </w:rPr>
        <w:t>2022年9月</w:t>
      </w:r>
      <w:r w:rsidR="002C7990">
        <w:rPr>
          <w:rFonts w:ascii="仿宋" w:eastAsia="仿宋" w:hAnsi="仿宋" w:cs="宋体" w:hint="eastAsia"/>
          <w:color w:val="444444"/>
          <w:kern w:val="0"/>
          <w:sz w:val="32"/>
          <w:szCs w:val="32"/>
        </w:rPr>
        <w:t>30</w:t>
      </w:r>
      <w:r w:rsidRPr="009B4F78">
        <w:rPr>
          <w:rFonts w:ascii="仿宋" w:eastAsia="仿宋" w:hAnsi="仿宋" w:cs="宋体" w:hint="eastAsia"/>
          <w:color w:val="444444"/>
          <w:kern w:val="0"/>
          <w:sz w:val="32"/>
          <w:szCs w:val="32"/>
        </w:rPr>
        <w:t>日</w:t>
      </w:r>
    </w:p>
    <w:sectPr w:rsidR="005C23DC" w:rsidRPr="00BC275F" w:rsidSect="00F330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045" w:rsidRDefault="00BA7045" w:rsidP="001003EA">
      <w:r>
        <w:separator/>
      </w:r>
    </w:p>
  </w:endnote>
  <w:endnote w:type="continuationSeparator" w:id="0">
    <w:p w:rsidR="00BA7045" w:rsidRDefault="00BA7045" w:rsidP="001003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045" w:rsidRDefault="00BA7045" w:rsidP="001003EA">
      <w:r>
        <w:separator/>
      </w:r>
    </w:p>
  </w:footnote>
  <w:footnote w:type="continuationSeparator" w:id="0">
    <w:p w:rsidR="00BA7045" w:rsidRDefault="00BA7045" w:rsidP="00100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22A94"/>
    <w:multiLevelType w:val="hybridMultilevel"/>
    <w:tmpl w:val="4F96B0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0BC1"/>
    <w:rsid w:val="000C761C"/>
    <w:rsid w:val="001003EA"/>
    <w:rsid w:val="00104E98"/>
    <w:rsid w:val="00194D24"/>
    <w:rsid w:val="002609F8"/>
    <w:rsid w:val="002619CF"/>
    <w:rsid w:val="002C7990"/>
    <w:rsid w:val="003068C3"/>
    <w:rsid w:val="005C23DC"/>
    <w:rsid w:val="006A12FE"/>
    <w:rsid w:val="00795A49"/>
    <w:rsid w:val="00856C5B"/>
    <w:rsid w:val="009B4F78"/>
    <w:rsid w:val="009D1228"/>
    <w:rsid w:val="00A13560"/>
    <w:rsid w:val="00B036DB"/>
    <w:rsid w:val="00B43E58"/>
    <w:rsid w:val="00BA7045"/>
    <w:rsid w:val="00BC275F"/>
    <w:rsid w:val="00BE10F4"/>
    <w:rsid w:val="00C5527C"/>
    <w:rsid w:val="00C721A0"/>
    <w:rsid w:val="00D05EC1"/>
    <w:rsid w:val="00D20BC1"/>
    <w:rsid w:val="00F33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49"/>
    <w:pPr>
      <w:widowControl w:val="0"/>
      <w:jc w:val="both"/>
    </w:pPr>
  </w:style>
  <w:style w:type="paragraph" w:styleId="1">
    <w:name w:val="heading 1"/>
    <w:basedOn w:val="a"/>
    <w:link w:val="1Char"/>
    <w:uiPriority w:val="9"/>
    <w:qFormat/>
    <w:rsid w:val="001003E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03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03EA"/>
    <w:rPr>
      <w:sz w:val="18"/>
      <w:szCs w:val="18"/>
    </w:rPr>
  </w:style>
  <w:style w:type="paragraph" w:styleId="a4">
    <w:name w:val="footer"/>
    <w:basedOn w:val="a"/>
    <w:link w:val="Char0"/>
    <w:uiPriority w:val="99"/>
    <w:unhideWhenUsed/>
    <w:rsid w:val="001003EA"/>
    <w:pPr>
      <w:tabs>
        <w:tab w:val="center" w:pos="4153"/>
        <w:tab w:val="right" w:pos="8306"/>
      </w:tabs>
      <w:snapToGrid w:val="0"/>
      <w:jc w:val="left"/>
    </w:pPr>
    <w:rPr>
      <w:sz w:val="18"/>
      <w:szCs w:val="18"/>
    </w:rPr>
  </w:style>
  <w:style w:type="character" w:customStyle="1" w:styleId="Char0">
    <w:name w:val="页脚 Char"/>
    <w:basedOn w:val="a0"/>
    <w:link w:val="a4"/>
    <w:uiPriority w:val="99"/>
    <w:rsid w:val="001003EA"/>
    <w:rPr>
      <w:sz w:val="18"/>
      <w:szCs w:val="18"/>
    </w:rPr>
  </w:style>
  <w:style w:type="character" w:customStyle="1" w:styleId="1Char">
    <w:name w:val="标题 1 Char"/>
    <w:basedOn w:val="a0"/>
    <w:link w:val="1"/>
    <w:uiPriority w:val="9"/>
    <w:rsid w:val="001003EA"/>
    <w:rPr>
      <w:rFonts w:ascii="宋体" w:eastAsia="宋体" w:hAnsi="宋体" w:cs="宋体"/>
      <w:b/>
      <w:bCs/>
      <w:kern w:val="36"/>
      <w:sz w:val="48"/>
      <w:szCs w:val="48"/>
    </w:rPr>
  </w:style>
  <w:style w:type="paragraph" w:customStyle="1" w:styleId="md-size">
    <w:name w:val="md-size"/>
    <w:basedOn w:val="a"/>
    <w:rsid w:val="001003EA"/>
    <w:pPr>
      <w:widowControl/>
      <w:spacing w:before="100" w:beforeAutospacing="1" w:after="100" w:afterAutospacing="1"/>
      <w:jc w:val="left"/>
    </w:pPr>
    <w:rPr>
      <w:rFonts w:ascii="宋体" w:eastAsia="宋体" w:hAnsi="宋体" w:cs="宋体"/>
      <w:kern w:val="0"/>
      <w:sz w:val="24"/>
      <w:szCs w:val="24"/>
    </w:rPr>
  </w:style>
  <w:style w:type="character" w:customStyle="1" w:styleId="md-size1">
    <w:name w:val="md-size1"/>
    <w:basedOn w:val="a0"/>
    <w:rsid w:val="001003EA"/>
  </w:style>
  <w:style w:type="paragraph" w:styleId="a5">
    <w:name w:val="List Paragraph"/>
    <w:basedOn w:val="a"/>
    <w:uiPriority w:val="34"/>
    <w:qFormat/>
    <w:rsid w:val="00F330EE"/>
    <w:pPr>
      <w:ind w:firstLineChars="200" w:firstLine="420"/>
    </w:pPr>
  </w:style>
  <w:style w:type="character" w:styleId="a6">
    <w:name w:val="annotation reference"/>
    <w:basedOn w:val="a0"/>
    <w:uiPriority w:val="99"/>
    <w:semiHidden/>
    <w:unhideWhenUsed/>
    <w:rsid w:val="002619CF"/>
    <w:rPr>
      <w:sz w:val="21"/>
      <w:szCs w:val="21"/>
    </w:rPr>
  </w:style>
  <w:style w:type="paragraph" w:styleId="a7">
    <w:name w:val="annotation text"/>
    <w:basedOn w:val="a"/>
    <w:link w:val="Char1"/>
    <w:uiPriority w:val="99"/>
    <w:semiHidden/>
    <w:unhideWhenUsed/>
    <w:rsid w:val="002619CF"/>
    <w:pPr>
      <w:jc w:val="left"/>
    </w:pPr>
  </w:style>
  <w:style w:type="character" w:customStyle="1" w:styleId="Char1">
    <w:name w:val="批注文字 Char"/>
    <w:basedOn w:val="a0"/>
    <w:link w:val="a7"/>
    <w:uiPriority w:val="99"/>
    <w:semiHidden/>
    <w:rsid w:val="002619CF"/>
  </w:style>
  <w:style w:type="paragraph" w:styleId="a8">
    <w:name w:val="annotation subject"/>
    <w:basedOn w:val="a7"/>
    <w:next w:val="a7"/>
    <w:link w:val="Char2"/>
    <w:uiPriority w:val="99"/>
    <w:semiHidden/>
    <w:unhideWhenUsed/>
    <w:rsid w:val="002619CF"/>
    <w:rPr>
      <w:b/>
      <w:bCs/>
    </w:rPr>
  </w:style>
  <w:style w:type="character" w:customStyle="1" w:styleId="Char2">
    <w:name w:val="批注主题 Char"/>
    <w:basedOn w:val="Char1"/>
    <w:link w:val="a8"/>
    <w:uiPriority w:val="99"/>
    <w:semiHidden/>
    <w:rsid w:val="002619CF"/>
    <w:rPr>
      <w:b/>
      <w:bCs/>
    </w:rPr>
  </w:style>
  <w:style w:type="paragraph" w:styleId="a9">
    <w:name w:val="Balloon Text"/>
    <w:basedOn w:val="a"/>
    <w:link w:val="Char3"/>
    <w:uiPriority w:val="99"/>
    <w:semiHidden/>
    <w:unhideWhenUsed/>
    <w:rsid w:val="002619CF"/>
    <w:rPr>
      <w:sz w:val="18"/>
      <w:szCs w:val="18"/>
    </w:rPr>
  </w:style>
  <w:style w:type="character" w:customStyle="1" w:styleId="Char3">
    <w:name w:val="批注框文本 Char"/>
    <w:basedOn w:val="a0"/>
    <w:link w:val="a9"/>
    <w:uiPriority w:val="99"/>
    <w:semiHidden/>
    <w:rsid w:val="002619CF"/>
    <w:rPr>
      <w:sz w:val="18"/>
      <w:szCs w:val="18"/>
    </w:rPr>
  </w:style>
  <w:style w:type="paragraph" w:styleId="aa">
    <w:name w:val="Revision"/>
    <w:hidden/>
    <w:uiPriority w:val="99"/>
    <w:semiHidden/>
    <w:rsid w:val="002619CF"/>
  </w:style>
</w:styles>
</file>

<file path=word/webSettings.xml><?xml version="1.0" encoding="utf-8"?>
<w:webSettings xmlns:r="http://schemas.openxmlformats.org/officeDocument/2006/relationships" xmlns:w="http://schemas.openxmlformats.org/wordprocessingml/2006/main">
  <w:divs>
    <w:div w:id="1565752190">
      <w:bodyDiv w:val="1"/>
      <w:marLeft w:val="0"/>
      <w:marRight w:val="0"/>
      <w:marTop w:val="0"/>
      <w:marBottom w:val="0"/>
      <w:divBdr>
        <w:top w:val="none" w:sz="0" w:space="0" w:color="auto"/>
        <w:left w:val="none" w:sz="0" w:space="0" w:color="auto"/>
        <w:bottom w:val="none" w:sz="0" w:space="0" w:color="auto"/>
        <w:right w:val="none" w:sz="0" w:space="0" w:color="auto"/>
      </w:divBdr>
      <w:divsChild>
        <w:div w:id="1782415268">
          <w:marLeft w:val="0"/>
          <w:marRight w:val="0"/>
          <w:marTop w:val="0"/>
          <w:marBottom w:val="0"/>
          <w:divBdr>
            <w:top w:val="none" w:sz="0" w:space="0" w:color="auto"/>
            <w:left w:val="none" w:sz="0" w:space="0" w:color="auto"/>
            <w:bottom w:val="none" w:sz="0" w:space="0" w:color="auto"/>
            <w:right w:val="none" w:sz="0" w:space="0" w:color="auto"/>
          </w:divBdr>
          <w:divsChild>
            <w:div w:id="1534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1A722-8D6A-45DD-9F3E-EBCCBE7C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1930</Characters>
  <Application>Microsoft Office Word</Application>
  <DocSecurity>4</DocSecurity>
  <Lines>16</Lines>
  <Paragraphs>4</Paragraphs>
  <ScaleCrop>false</ScaleCrop>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萨仁高娃</dc:creator>
  <cp:keywords/>
  <dc:description/>
  <cp:lastModifiedBy>ZHONGM</cp:lastModifiedBy>
  <cp:revision>2</cp:revision>
  <cp:lastPrinted>2022-09-29T07:49:00Z</cp:lastPrinted>
  <dcterms:created xsi:type="dcterms:W3CDTF">2022-09-29T16:01:00Z</dcterms:created>
  <dcterms:modified xsi:type="dcterms:W3CDTF">2022-09-29T16:01:00Z</dcterms:modified>
</cp:coreProperties>
</file>