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3B" w:rsidRPr="001F12D1" w:rsidRDefault="009C3206" w:rsidP="00177B3B">
      <w:pPr>
        <w:pStyle w:val="font14"/>
        <w:jc w:val="center"/>
        <w:rPr>
          <w:rFonts w:asciiTheme="majorEastAsia" w:eastAsiaTheme="majorEastAsia" w:hAnsiTheme="majorEastAsia"/>
        </w:rPr>
      </w:pPr>
      <w:r w:rsidRPr="001F12D1">
        <w:rPr>
          <w:rStyle w:val="a8"/>
          <w:rFonts w:asciiTheme="majorEastAsia" w:eastAsiaTheme="majorEastAsia" w:hAnsiTheme="majorEastAsia" w:hint="eastAsia"/>
          <w:sz w:val="24"/>
          <w:szCs w:val="24"/>
        </w:rPr>
        <w:t>易方达基金管理有限公司</w:t>
      </w:r>
      <w:r w:rsidR="002B36C1">
        <w:rPr>
          <w:rStyle w:val="a8"/>
          <w:rFonts w:asciiTheme="majorEastAsia" w:eastAsiaTheme="majorEastAsia" w:hAnsiTheme="majorEastAsia" w:hint="eastAsia"/>
          <w:sz w:val="24"/>
          <w:szCs w:val="24"/>
        </w:rPr>
        <w:t>关于旗下基金</w:t>
      </w:r>
      <w:r w:rsidRPr="00C251FE">
        <w:rPr>
          <w:rStyle w:val="a8"/>
          <w:rFonts w:asciiTheme="majorEastAsia" w:eastAsiaTheme="majorEastAsia" w:hAnsiTheme="majorEastAsia" w:hint="eastAsia"/>
          <w:sz w:val="24"/>
          <w:szCs w:val="24"/>
        </w:rPr>
        <w:t>关联交易事项的公告</w:t>
      </w:r>
    </w:p>
    <w:p w:rsidR="00177B3B" w:rsidRPr="001F12D1" w:rsidRDefault="009C3206" w:rsidP="00225437">
      <w:pPr>
        <w:pStyle w:val="Default"/>
        <w:spacing w:line="360" w:lineRule="auto"/>
        <w:ind w:firstLineChars="210" w:firstLine="504"/>
        <w:rPr>
          <w:rFonts w:asciiTheme="majorEastAsia" w:eastAsiaTheme="majorEastAsia" w:hAnsiTheme="majorEastAsia"/>
        </w:rPr>
      </w:pPr>
      <w:r w:rsidRPr="006B6352">
        <w:rPr>
          <w:rFonts w:asciiTheme="majorEastAsia" w:eastAsiaTheme="majorEastAsia" w:hAnsiTheme="majorEastAsia" w:hint="eastAsia"/>
        </w:rPr>
        <w:t>根据《公开募集证券投资基金运作管理办法》《公开募集证券投资基金信息披露管理办法》及相关法律法规、基金合同及招募说明书等规定，在履行规定审批程序并经基金托管人同意后，</w:t>
      </w:r>
      <w:r w:rsidR="00E620F6">
        <w:rPr>
          <w:rFonts w:asciiTheme="majorEastAsia" w:eastAsiaTheme="majorEastAsia" w:hAnsiTheme="majorEastAsia" w:hint="eastAsia"/>
        </w:rPr>
        <w:t>易方达基金管理有限公司旗下部分基金参加了</w:t>
      </w:r>
      <w:r w:rsidR="00E620F6" w:rsidRPr="00E620F6">
        <w:rPr>
          <w:rFonts w:asciiTheme="majorEastAsia" w:eastAsiaTheme="majorEastAsia" w:hAnsiTheme="majorEastAsia" w:hint="eastAsia"/>
          <w:bCs/>
        </w:rPr>
        <w:t>上海紫燕食品股份有限公司</w:t>
      </w:r>
      <w:r w:rsidR="00E620F6">
        <w:rPr>
          <w:rFonts w:asciiTheme="majorEastAsia" w:eastAsiaTheme="majorEastAsia" w:hAnsiTheme="majorEastAsia" w:hint="eastAsia"/>
        </w:rPr>
        <w:t>首次公开发行股票的申购，基金管理人的非控股股东广发证券股份有限公司为本次发行的主承销商。</w:t>
      </w:r>
      <w:r w:rsidRPr="00C251FE">
        <w:rPr>
          <w:rFonts w:asciiTheme="majorEastAsia" w:eastAsiaTheme="majorEastAsia" w:hAnsiTheme="majorEastAsia" w:hint="eastAsia"/>
        </w:rPr>
        <w:t>本次发行价格为</w:t>
      </w:r>
      <w:r w:rsidR="00E620F6" w:rsidRPr="00E620F6">
        <w:rPr>
          <w:rFonts w:asciiTheme="majorEastAsia" w:eastAsiaTheme="majorEastAsia" w:hAnsiTheme="majorEastAsia"/>
        </w:rPr>
        <w:t>15.15</w:t>
      </w:r>
      <w:r w:rsidRPr="00C251FE">
        <w:rPr>
          <w:rFonts w:asciiTheme="majorEastAsia" w:eastAsiaTheme="majorEastAsia" w:hAnsiTheme="majorEastAsia" w:hint="eastAsia"/>
        </w:rPr>
        <w:t>元</w:t>
      </w:r>
      <w:r w:rsidRPr="00C251FE">
        <w:rPr>
          <w:rFonts w:asciiTheme="majorEastAsia" w:eastAsiaTheme="majorEastAsia" w:hAnsiTheme="majorEastAsia" w:hint="eastAsia"/>
        </w:rPr>
        <w:t>/</w:t>
      </w:r>
      <w:r w:rsidRPr="00C251FE">
        <w:rPr>
          <w:rFonts w:asciiTheme="majorEastAsia" w:eastAsiaTheme="majorEastAsia" w:hAnsiTheme="majorEastAsia" w:hint="eastAsia"/>
        </w:rPr>
        <w:t>股，</w:t>
      </w:r>
      <w:r w:rsidRPr="009F700D">
        <w:rPr>
          <w:rFonts w:asciiTheme="majorEastAsia" w:eastAsiaTheme="majorEastAsia" w:hAnsiTheme="majorEastAsia" w:hint="eastAsia"/>
        </w:rPr>
        <w:t>由</w:t>
      </w:r>
      <w:r w:rsidR="002B36C1" w:rsidRPr="002B36C1">
        <w:rPr>
          <w:rFonts w:asciiTheme="majorEastAsia" w:eastAsiaTheme="majorEastAsia" w:hAnsiTheme="majorEastAsia" w:hint="eastAsia"/>
        </w:rPr>
        <w:t>发行人和保荐机构（主承销商）</w:t>
      </w:r>
      <w:r w:rsidR="00E620F6" w:rsidRPr="00E620F6">
        <w:rPr>
          <w:rFonts w:asciiTheme="majorEastAsia" w:eastAsiaTheme="majorEastAsia" w:hAnsiTheme="majorEastAsia" w:hint="eastAsia"/>
        </w:rPr>
        <w:t>根据初步询价结果，综合考虑发行人基本面、所处行业、可比上市公司估值水平、市场情况、募集资金需求及承销风险等因素</w:t>
      </w:r>
      <w:r w:rsidR="00954324">
        <w:rPr>
          <w:rFonts w:asciiTheme="majorEastAsia" w:eastAsiaTheme="majorEastAsia" w:hAnsiTheme="majorEastAsia" w:hint="eastAsia"/>
        </w:rPr>
        <w:t>协商</w:t>
      </w:r>
      <w:r w:rsidRPr="00C251FE">
        <w:rPr>
          <w:rFonts w:asciiTheme="majorEastAsia" w:eastAsiaTheme="majorEastAsia" w:hAnsiTheme="majorEastAsia" w:hint="eastAsia"/>
        </w:rPr>
        <w:t>确定。</w:t>
      </w:r>
    </w:p>
    <w:p w:rsidR="00177B3B" w:rsidRPr="001F12D1" w:rsidRDefault="009C3206" w:rsidP="00177B3B">
      <w:pPr>
        <w:pStyle w:val="Default"/>
        <w:spacing w:line="360" w:lineRule="auto"/>
        <w:ind w:firstLineChars="210" w:firstLine="504"/>
        <w:rPr>
          <w:rFonts w:asciiTheme="majorEastAsia" w:eastAsiaTheme="majorEastAsia" w:hAnsiTheme="majorEastAsia"/>
        </w:rPr>
      </w:pPr>
      <w:r w:rsidRPr="001F12D1">
        <w:rPr>
          <w:rFonts w:asciiTheme="majorEastAsia" w:eastAsiaTheme="majorEastAsia" w:hAnsiTheme="majorEastAsia" w:hint="eastAsia"/>
        </w:rPr>
        <w:t>现将获配结果披露如下表：</w:t>
      </w:r>
    </w:p>
    <w:p w:rsidR="00177B3B" w:rsidRPr="004C77B0" w:rsidRDefault="00177B3B" w:rsidP="00177B3B">
      <w:pPr>
        <w:widowControl/>
        <w:spacing w:line="360" w:lineRule="auto"/>
        <w:jc w:val="left"/>
        <w:rPr>
          <w:rFonts w:asciiTheme="majorEastAsia" w:eastAsiaTheme="majorEastAsia" w:hAnsiTheme="majorEastAsia"/>
          <w:bCs/>
          <w:sz w:val="24"/>
        </w:rPr>
      </w:pPr>
    </w:p>
    <w:tbl>
      <w:tblPr>
        <w:tblW w:w="5000" w:type="pct"/>
        <w:tblLook w:val="04A0"/>
      </w:tblPr>
      <w:tblGrid>
        <w:gridCol w:w="5556"/>
        <w:gridCol w:w="1483"/>
        <w:gridCol w:w="1483"/>
      </w:tblGrid>
      <w:tr w:rsidR="001F3A40" w:rsidTr="00E620F6">
        <w:trPr>
          <w:trHeight w:val="300"/>
        </w:trPr>
        <w:tc>
          <w:tcPr>
            <w:tcW w:w="314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基金名称</w:t>
            </w:r>
          </w:p>
        </w:tc>
        <w:tc>
          <w:tcPr>
            <w:tcW w:w="929" w:type="pct"/>
            <w:tcBorders>
              <w:top w:val="single" w:sz="8" w:space="0" w:color="auto"/>
              <w:left w:val="nil"/>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获配数量（股）</w:t>
            </w:r>
          </w:p>
        </w:tc>
        <w:tc>
          <w:tcPr>
            <w:tcW w:w="929" w:type="pct"/>
            <w:tcBorders>
              <w:top w:val="single" w:sz="8" w:space="0" w:color="auto"/>
              <w:left w:val="nil"/>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获配金额（元）</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易方达新兴成长灵活配置混合型证券投资基金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易方达裕惠回报定期开放式混合型发起式证券投资基金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易方达创新驱动灵活配置混合型证券投资基金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易方达新经济灵活配置混合型证券投资基金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易方达改革红利混合型证券投资基金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易方达裕如灵活配置混合型证券投资基金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易方达安心回馈混合型证券投资基金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易方达新常态灵活配置混合型证券投资基金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易方达新收益灵活配置混合型证券投资基金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易方达新利灵活配置混合型证券投资基金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易方达新鑫灵活配置混合型证券投资基金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易方达新益灵活配置混合型证券投资基金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易方达新享灵活配置混合型证券投资基金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易方达新丝路灵活配置混合型证券投资基金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易方达国企改革混合型证券投资基金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易方达瑞景灵活配置混合型证券投资基金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易方达瑞享灵活配置混合型证券投资基金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易方达瑞信灵活配置混合型证券投资基金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易方达瑞选灵活配置混合型证券投资基金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易方达国防军工混合型证券投资基金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易方达信息产业混合型证券投资基金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易方达瑞和灵活配置混合型证券投资基金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易方达安盈回报混合型证券投资基金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易方达瑞富灵活配置混合型证券投资基金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lastRenderedPageBreak/>
              <w:t>易方达瑞祺灵活配置混合型证券投资基金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易方达瑞财灵活配置混合型证券投资基金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易方达瑞智灵活配置混合型证券投资基金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易方达瑞兴灵活配置混合型证券投资基金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易方达瑞恒灵活配置混合型证券投资基金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易方达瑞祥灵活配置混合型证券投资基金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易方达环保主题灵活配置混合型证券投资基金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易方达现代服务业灵活配置混合型证券投资基金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易方达大健康主题灵活配置混合型证券投资基金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易方达量化策略精选灵活配置混合型证券投资基金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易方达丰惠混合型证券投资基金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易方达供给改革灵活配置混合型证券投资基金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易方达科瑞灵活配置混合型证券投资基金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易方达瑞通灵活配置混合型证券投资基金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易方达瑞弘灵活配置混合型证券投资基金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易方达瑞程灵活配置混合型证券投资基金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易方达易百智能量化策略灵活配置混合型证券投资基金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易方达蓝筹精选混合型证券投资基金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易方达中盘成长混合型证券投资基金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易方达鑫转增利混合型证券投资基金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易方达鑫转添利混合型证券投资基金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易方达鑫转招利混合型证券投资基金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易方达科融混合型证券投资基金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易方达科技创新混合型证券投资基金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w:t>
            </w:r>
            <w:r w:rsidRPr="00E620F6">
              <w:rPr>
                <w:rFonts w:ascii="宋体" w:hAnsi="宋体" w:cs="Arial" w:hint="eastAsia"/>
                <w:kern w:val="0"/>
                <w:szCs w:val="21"/>
              </w:rPr>
              <w:t>ESG</w:t>
            </w:r>
            <w:r w:rsidRPr="00E620F6">
              <w:rPr>
                <w:rFonts w:ascii="宋体" w:hAnsi="宋体" w:cs="Arial" w:hint="eastAsia"/>
                <w:kern w:val="0"/>
                <w:szCs w:val="21"/>
              </w:rPr>
              <w:t>责任投资股票型发起式证券投资基金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易方达恒盛</w:t>
            </w:r>
            <w:r w:rsidRPr="00E620F6">
              <w:rPr>
                <w:rFonts w:ascii="宋体" w:hAnsi="宋体" w:cs="Arial" w:hint="eastAsia"/>
                <w:kern w:val="0"/>
                <w:szCs w:val="21"/>
              </w:rPr>
              <w:t>3</w:t>
            </w:r>
            <w:r w:rsidRPr="00E620F6">
              <w:rPr>
                <w:rFonts w:ascii="宋体" w:hAnsi="宋体" w:cs="Arial" w:hint="eastAsia"/>
                <w:kern w:val="0"/>
                <w:szCs w:val="21"/>
              </w:rPr>
              <w:t>个月定期开放混合型发起式证券投资基金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易方达金融行业股票型发起式证券投资基金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易方达全球医药行业混合型发起式证券投资基金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易方达研究精选股票型证券投资基金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易方达高端制造混合型发起式证券投资基金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易方达瑞川灵活配置混合型发起式证券投资基金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易方达磐恒九个月持有期混合型证券投资基金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易方达磐泰一年持有期混合型证券投资基金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易方达消费精选股票型证券投资基金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易方达均衡成长股票型证券投资基金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易方达优质企业三年持有期混合型证券投资基金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易方达招易一年持有期混合型证券投资基金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易方达瑞锦灵活配置混合型发起式证券投资基金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易方达创新成长混合型证券投资基金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易方达悦通一年持有期混合型证券投资基金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易方达悦兴一年持有期混合型证券投资基金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易方达磐固六个月持有期混合型证券投资基金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lastRenderedPageBreak/>
              <w:t>易方达悦享一年持有期混合型证券投资基金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易方达信息行业精选股票型证券投资基金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易方达远见成长混合型证券投资基金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易方达核心优势股票型证券投资基金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易方达竞争优势企业混合型证券投资基金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易方达高质量严选三年持有期混合型证券投资基金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易方达医药生物股票型证券投资基金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易方达科益混合型证券投资基金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易方达战略新兴产业股票型证券投资基金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易方达沪深</w:t>
            </w:r>
            <w:r w:rsidRPr="00E620F6">
              <w:rPr>
                <w:rFonts w:ascii="宋体" w:hAnsi="宋体" w:cs="Arial" w:hint="eastAsia"/>
                <w:kern w:val="0"/>
                <w:szCs w:val="21"/>
              </w:rPr>
              <w:t>300</w:t>
            </w:r>
            <w:r w:rsidRPr="00E620F6">
              <w:rPr>
                <w:rFonts w:ascii="宋体" w:hAnsi="宋体" w:cs="Arial" w:hint="eastAsia"/>
                <w:kern w:val="0"/>
                <w:szCs w:val="21"/>
              </w:rPr>
              <w:t>指数精选增强型证券投资基金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易方达瑞安灵活配置混合型发起式证券投资基金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易方达瑞康灵活配置混合型证券投资基金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易方达智造优势混合型证券投资基金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易方达悦盈一年持有期混合型证券投资基金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易方达宁易一年持有期混合型证券投资基金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易方达悦弘一年持有期混合型证券投资基金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易方达上证科创板</w:t>
            </w:r>
            <w:r w:rsidRPr="00E620F6">
              <w:rPr>
                <w:rFonts w:ascii="宋体" w:hAnsi="宋体" w:cs="Arial" w:hint="eastAsia"/>
                <w:kern w:val="0"/>
                <w:szCs w:val="21"/>
              </w:rPr>
              <w:t>50</w:t>
            </w:r>
            <w:r w:rsidRPr="00E620F6">
              <w:rPr>
                <w:rFonts w:ascii="宋体" w:hAnsi="宋体" w:cs="Arial" w:hint="eastAsia"/>
                <w:kern w:val="0"/>
                <w:szCs w:val="21"/>
              </w:rPr>
              <w:t>成份交易型开放式指数证券投资基金联接基金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易方达逆向投资混合型证券投资基金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易方达龙头优选两年持有期混合型证券投资基金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易方达悦信一年持有期混合型证券投资基金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易方达稳健增长混合型证券投资基金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易方达稳泰一年持有期混合型证券投资基金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易方达商业模式优选混合型证券投资基金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易方达先锋成长混合型证券投资基金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易方达长期价值混合型证券投资基金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易方达稳健回报混合型证券投资基金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易方达稳健添利混合型证券投资基金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易方达悦夏一年持有期混合型证券投资基金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w:t>
            </w:r>
            <w:r w:rsidRPr="00E620F6">
              <w:rPr>
                <w:rFonts w:ascii="宋体" w:hAnsi="宋体" w:cs="Arial" w:hint="eastAsia"/>
                <w:kern w:val="0"/>
                <w:szCs w:val="21"/>
              </w:rPr>
              <w:t>500</w:t>
            </w:r>
            <w:r w:rsidRPr="00E620F6">
              <w:rPr>
                <w:rFonts w:ascii="宋体" w:hAnsi="宋体" w:cs="Arial" w:hint="eastAsia"/>
                <w:kern w:val="0"/>
                <w:szCs w:val="21"/>
              </w:rPr>
              <w:t>指数量化增强型证券投资基金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易方达稳健增利混合型证券投资基金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易方达核心智造混合型证券投资基金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易方达港股通成长混合型证券投资基金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易方达中证龙头企业指数证券投资基金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易方达悦丰一年持有期混合型证券投资基金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易方达全球成长精选混合型证券投资基金（</w:t>
            </w:r>
            <w:r w:rsidRPr="00E620F6">
              <w:rPr>
                <w:rFonts w:ascii="宋体" w:hAnsi="宋体" w:cs="Arial" w:hint="eastAsia"/>
                <w:kern w:val="0"/>
                <w:szCs w:val="21"/>
              </w:rPr>
              <w:t>QDII</w:t>
            </w:r>
            <w:r w:rsidRPr="00E620F6">
              <w:rPr>
                <w:rFonts w:ascii="宋体" w:hAnsi="宋体" w:cs="Arial" w:hint="eastAsia"/>
                <w:kern w:val="0"/>
                <w:szCs w:val="21"/>
              </w:rPr>
              <w:t>）</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易方达悦浦一年持有期混合型证券投资基金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易方达均衡优选一年持有期混合型证券投资基金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易方达趋势优选混合型证券投资基金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易方达高质量增长量化精选股票型证券投资基金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易方达悦融一年持有期混合型证券投资基金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易方达北交所精选两年定期开放混合型证券投资基金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易方达品质动能三年持有期混合型证券投资基金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易方达成长动力混合型证券投资基金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易方达悦稳一年持有期混合型证券投资基金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易方达平稳增长证券投资基金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易方达策略成长证券投资基金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易方达上证</w:t>
            </w:r>
            <w:r w:rsidRPr="00E620F6">
              <w:rPr>
                <w:rFonts w:ascii="宋体" w:hAnsi="宋体" w:cs="Arial" w:hint="eastAsia"/>
                <w:kern w:val="0"/>
                <w:szCs w:val="21"/>
              </w:rPr>
              <w:t>50</w:t>
            </w:r>
            <w:r w:rsidRPr="00E620F6">
              <w:rPr>
                <w:rFonts w:ascii="宋体" w:hAnsi="宋体" w:cs="Arial" w:hint="eastAsia"/>
                <w:kern w:val="0"/>
                <w:szCs w:val="21"/>
              </w:rPr>
              <w:t>指数增强型证券投资基金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易方达积极成长证券投资基金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易方达价值精选混合型证券投资基金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易方达价值成长混合型证券投资基金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易方达优质精选混合型证券投资基金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易方达科汇灵活配置混合型证券投资基金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易方达科翔混合型证券投资基金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易方达行业领先企业混合型证券投资基金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易方达沪深</w:t>
            </w:r>
            <w:r w:rsidRPr="00E620F6">
              <w:rPr>
                <w:rFonts w:ascii="宋体" w:hAnsi="宋体" w:cs="Arial" w:hint="eastAsia"/>
                <w:kern w:val="0"/>
                <w:szCs w:val="21"/>
              </w:rPr>
              <w:t>300</w:t>
            </w:r>
            <w:r w:rsidRPr="00E620F6">
              <w:rPr>
                <w:rFonts w:ascii="宋体" w:hAnsi="宋体" w:cs="Arial" w:hint="eastAsia"/>
                <w:kern w:val="0"/>
                <w:szCs w:val="21"/>
              </w:rPr>
              <w:t>交易型开放式指数发起式证券投资基金联接基金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易方达消费行业股票型证券投资基金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易方达医疗保健行业混合型证券投资基金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易方达资源行业混合型证券投资基金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易方达科讯混合型证券投资基金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易方达沪深</w:t>
            </w:r>
            <w:r w:rsidRPr="00E620F6">
              <w:rPr>
                <w:rFonts w:ascii="宋体" w:hAnsi="宋体" w:cs="Arial" w:hint="eastAsia"/>
                <w:kern w:val="0"/>
                <w:szCs w:val="21"/>
              </w:rPr>
              <w:t>300</w:t>
            </w:r>
            <w:r w:rsidRPr="00E620F6">
              <w:rPr>
                <w:rFonts w:ascii="宋体" w:hAnsi="宋体" w:cs="Arial" w:hint="eastAsia"/>
                <w:kern w:val="0"/>
                <w:szCs w:val="21"/>
              </w:rPr>
              <w:t>量化增强证券投资基金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易方达策略成长二号混合型证券投资基金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w:t>
            </w:r>
            <w:r w:rsidRPr="00E620F6">
              <w:rPr>
                <w:rFonts w:ascii="宋体" w:hAnsi="宋体" w:cs="Arial" w:hint="eastAsia"/>
                <w:kern w:val="0"/>
                <w:szCs w:val="21"/>
              </w:rPr>
              <w:t>500</w:t>
            </w:r>
            <w:r w:rsidRPr="00E620F6">
              <w:rPr>
                <w:rFonts w:ascii="宋体" w:hAnsi="宋体" w:cs="Arial" w:hint="eastAsia"/>
                <w:kern w:val="0"/>
                <w:szCs w:val="21"/>
              </w:rPr>
              <w:t>质量成长交易型开放式指数证券投资基金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w:t>
            </w:r>
            <w:r w:rsidRPr="00E620F6">
              <w:rPr>
                <w:rFonts w:ascii="宋体" w:hAnsi="宋体" w:cs="Arial" w:hint="eastAsia"/>
                <w:kern w:val="0"/>
                <w:szCs w:val="21"/>
              </w:rPr>
              <w:t>1000</w:t>
            </w:r>
            <w:r w:rsidRPr="00E620F6">
              <w:rPr>
                <w:rFonts w:ascii="宋体" w:hAnsi="宋体" w:cs="Arial" w:hint="eastAsia"/>
                <w:kern w:val="0"/>
                <w:szCs w:val="21"/>
              </w:rPr>
              <w:t>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易方达中证稀土产业交易型开放式指数证券投资基金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易方达中证科创创业</w:t>
            </w:r>
            <w:r w:rsidRPr="00E620F6">
              <w:rPr>
                <w:rFonts w:ascii="宋体" w:hAnsi="宋体" w:cs="Arial" w:hint="eastAsia"/>
                <w:kern w:val="0"/>
                <w:szCs w:val="21"/>
              </w:rPr>
              <w:t>50</w:t>
            </w:r>
            <w:r w:rsidRPr="00E620F6">
              <w:rPr>
                <w:rFonts w:ascii="宋体" w:hAnsi="宋体" w:cs="Arial" w:hint="eastAsia"/>
                <w:kern w:val="0"/>
                <w:szCs w:val="21"/>
              </w:rPr>
              <w:t>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易方达中证消费</w:t>
            </w:r>
            <w:r w:rsidRPr="00E620F6">
              <w:rPr>
                <w:rFonts w:ascii="宋体" w:hAnsi="宋体" w:cs="Arial" w:hint="eastAsia"/>
                <w:kern w:val="0"/>
                <w:szCs w:val="21"/>
              </w:rPr>
              <w:t>50</w:t>
            </w:r>
            <w:r w:rsidRPr="00E620F6">
              <w:rPr>
                <w:rFonts w:ascii="宋体" w:hAnsi="宋体" w:cs="Arial" w:hint="eastAsia"/>
                <w:kern w:val="0"/>
                <w:szCs w:val="21"/>
              </w:rPr>
              <w:t>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易方达中证科技</w:t>
            </w:r>
            <w:r w:rsidRPr="00E620F6">
              <w:rPr>
                <w:rFonts w:ascii="宋体" w:hAnsi="宋体" w:cs="Arial" w:hint="eastAsia"/>
                <w:kern w:val="0"/>
                <w:szCs w:val="21"/>
              </w:rPr>
              <w:t>50</w:t>
            </w:r>
            <w:r w:rsidRPr="00E620F6">
              <w:rPr>
                <w:rFonts w:ascii="宋体" w:hAnsi="宋体" w:cs="Arial" w:hint="eastAsia"/>
                <w:kern w:val="0"/>
                <w:szCs w:val="21"/>
              </w:rPr>
              <w:t>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易方达中证人工智能主题交易型开放式指数证券投资基金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易方达中证生物科技主题交易型开放式指数证券投资基金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易方达中证医疗交易型开放式指数证券投资基金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易方达中证银行指数证券投资基金（</w:t>
            </w:r>
            <w:r w:rsidRPr="00E620F6">
              <w:rPr>
                <w:rFonts w:ascii="宋体" w:hAnsi="宋体" w:cs="Arial" w:hint="eastAsia"/>
                <w:kern w:val="0"/>
                <w:szCs w:val="21"/>
              </w:rPr>
              <w:t>LOF</w:t>
            </w:r>
            <w:r w:rsidRPr="00E620F6">
              <w:rPr>
                <w:rFonts w:ascii="宋体" w:hAnsi="宋体" w:cs="Arial" w:hint="eastAsia"/>
                <w:kern w:val="0"/>
                <w:szCs w:val="21"/>
              </w:rPr>
              <w:t>）</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易方达中证万得生物科技指数证券投资基金（</w:t>
            </w:r>
            <w:r w:rsidRPr="00E620F6">
              <w:rPr>
                <w:rFonts w:ascii="宋体" w:hAnsi="宋体" w:cs="Arial" w:hint="eastAsia"/>
                <w:kern w:val="0"/>
                <w:szCs w:val="21"/>
              </w:rPr>
              <w:t>LOF</w:t>
            </w:r>
            <w:r w:rsidRPr="00E620F6">
              <w:rPr>
                <w:rFonts w:ascii="宋体" w:hAnsi="宋体" w:cs="Arial" w:hint="eastAsia"/>
                <w:kern w:val="0"/>
                <w:szCs w:val="21"/>
              </w:rPr>
              <w:t>）</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易方达中证万得并购重组指数证券投资基金（</w:t>
            </w:r>
            <w:r w:rsidRPr="00E620F6">
              <w:rPr>
                <w:rFonts w:ascii="宋体" w:hAnsi="宋体" w:cs="Arial" w:hint="eastAsia"/>
                <w:kern w:val="0"/>
                <w:szCs w:val="21"/>
              </w:rPr>
              <w:t>LOF</w:t>
            </w:r>
            <w:r w:rsidRPr="00E620F6">
              <w:rPr>
                <w:rFonts w:ascii="宋体" w:hAnsi="宋体" w:cs="Arial" w:hint="eastAsia"/>
                <w:kern w:val="0"/>
                <w:szCs w:val="21"/>
              </w:rPr>
              <w:t>）</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易方达科润混合型证券投资基金（</w:t>
            </w:r>
            <w:r w:rsidRPr="00E620F6">
              <w:rPr>
                <w:rFonts w:ascii="宋体" w:hAnsi="宋体" w:cs="Arial" w:hint="eastAsia"/>
                <w:kern w:val="0"/>
                <w:szCs w:val="21"/>
              </w:rPr>
              <w:t>LOF</w:t>
            </w:r>
            <w:r w:rsidRPr="00E620F6">
              <w:rPr>
                <w:rFonts w:ascii="宋体" w:hAnsi="宋体" w:cs="Arial" w:hint="eastAsia"/>
                <w:kern w:val="0"/>
                <w:szCs w:val="21"/>
              </w:rPr>
              <w:t>）</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易方达科顺定期开放灵活配置混合型证券投资基金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易方达创新未来混合型证券投资基金（</w:t>
            </w:r>
            <w:r w:rsidRPr="00E620F6">
              <w:rPr>
                <w:rFonts w:ascii="宋体" w:hAnsi="宋体" w:cs="Arial" w:hint="eastAsia"/>
                <w:kern w:val="0"/>
                <w:szCs w:val="21"/>
              </w:rPr>
              <w:t>LOF</w:t>
            </w:r>
            <w:r w:rsidRPr="00E620F6">
              <w:rPr>
                <w:rFonts w:ascii="宋体" w:hAnsi="宋体" w:cs="Arial" w:hint="eastAsia"/>
                <w:kern w:val="0"/>
                <w:szCs w:val="21"/>
              </w:rPr>
              <w:t>）</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易方达中证军工指数证券投资基金（</w:t>
            </w:r>
            <w:r w:rsidRPr="00E620F6">
              <w:rPr>
                <w:rFonts w:ascii="宋体" w:hAnsi="宋体" w:cs="Arial" w:hint="eastAsia"/>
                <w:kern w:val="0"/>
                <w:szCs w:val="21"/>
              </w:rPr>
              <w:t>LOF</w:t>
            </w:r>
            <w:r w:rsidRPr="00E620F6">
              <w:rPr>
                <w:rFonts w:ascii="宋体" w:hAnsi="宋体" w:cs="Arial" w:hint="eastAsia"/>
                <w:kern w:val="0"/>
                <w:szCs w:val="21"/>
              </w:rPr>
              <w:t>）</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易方达中证国有企业改革指数证券投资基金（</w:t>
            </w:r>
            <w:r w:rsidRPr="00E620F6">
              <w:rPr>
                <w:rFonts w:ascii="宋体" w:hAnsi="宋体" w:cs="Arial" w:hint="eastAsia"/>
                <w:kern w:val="0"/>
                <w:szCs w:val="21"/>
              </w:rPr>
              <w:t>LOF</w:t>
            </w:r>
            <w:r w:rsidRPr="00E620F6">
              <w:rPr>
                <w:rFonts w:ascii="宋体" w:hAnsi="宋体" w:cs="Arial" w:hint="eastAsia"/>
                <w:kern w:val="0"/>
                <w:szCs w:val="21"/>
              </w:rPr>
              <w:t>）</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易方达中证全指证券公司指数证券投资基金（</w:t>
            </w:r>
            <w:r w:rsidRPr="00E620F6">
              <w:rPr>
                <w:rFonts w:ascii="宋体" w:hAnsi="宋体" w:cs="Arial" w:hint="eastAsia"/>
                <w:kern w:val="0"/>
                <w:szCs w:val="21"/>
              </w:rPr>
              <w:t>LOF</w:t>
            </w:r>
            <w:r w:rsidRPr="00E620F6">
              <w:rPr>
                <w:rFonts w:ascii="宋体" w:hAnsi="宋体" w:cs="Arial" w:hint="eastAsia"/>
                <w:kern w:val="0"/>
                <w:szCs w:val="21"/>
              </w:rPr>
              <w:t>）</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易方达上证</w:t>
            </w:r>
            <w:r w:rsidRPr="00E620F6">
              <w:rPr>
                <w:rFonts w:ascii="宋体" w:hAnsi="宋体" w:cs="Arial" w:hint="eastAsia"/>
                <w:kern w:val="0"/>
                <w:szCs w:val="21"/>
              </w:rPr>
              <w:t>50</w:t>
            </w:r>
            <w:r w:rsidRPr="00E620F6">
              <w:rPr>
                <w:rFonts w:ascii="宋体" w:hAnsi="宋体" w:cs="Arial" w:hint="eastAsia"/>
                <w:kern w:val="0"/>
                <w:szCs w:val="21"/>
              </w:rPr>
              <w:t>指数证券投资基金（</w:t>
            </w:r>
            <w:r w:rsidRPr="00E620F6">
              <w:rPr>
                <w:rFonts w:ascii="宋体" w:hAnsi="宋体" w:cs="Arial" w:hint="eastAsia"/>
                <w:kern w:val="0"/>
                <w:szCs w:val="21"/>
              </w:rPr>
              <w:t>LOF</w:t>
            </w:r>
            <w:r w:rsidRPr="00E620F6">
              <w:rPr>
                <w:rFonts w:ascii="宋体" w:hAnsi="宋体" w:cs="Arial" w:hint="eastAsia"/>
                <w:kern w:val="0"/>
                <w:szCs w:val="21"/>
              </w:rPr>
              <w:t>）</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易方达科创板两年定期开放混合型证券投资基金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易方达上证</w:t>
            </w:r>
            <w:r w:rsidRPr="00E620F6">
              <w:rPr>
                <w:rFonts w:ascii="宋体" w:hAnsi="宋体" w:cs="Arial" w:hint="eastAsia"/>
                <w:kern w:val="0"/>
                <w:szCs w:val="21"/>
              </w:rPr>
              <w:t>50</w:t>
            </w:r>
            <w:r w:rsidRPr="00E620F6">
              <w:rPr>
                <w:rFonts w:ascii="宋体" w:hAnsi="宋体" w:cs="Arial" w:hint="eastAsia"/>
                <w:kern w:val="0"/>
                <w:szCs w:val="21"/>
              </w:rPr>
              <w:t>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易方达上证中盘交易型开放式指数证券投资基金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易方达沪深</w:t>
            </w:r>
            <w:r w:rsidRPr="00E620F6">
              <w:rPr>
                <w:rFonts w:ascii="宋体" w:hAnsi="宋体" w:cs="Arial" w:hint="eastAsia"/>
                <w:kern w:val="0"/>
                <w:szCs w:val="21"/>
              </w:rPr>
              <w:t>300</w:t>
            </w:r>
            <w:r w:rsidRPr="00E620F6">
              <w:rPr>
                <w:rFonts w:ascii="宋体" w:hAnsi="宋体" w:cs="Arial" w:hint="eastAsia"/>
                <w:kern w:val="0"/>
                <w:szCs w:val="21"/>
              </w:rPr>
              <w:t>交易型开放式指数发起式证券投资基金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w:t>
            </w:r>
            <w:r w:rsidRPr="00E620F6">
              <w:rPr>
                <w:rFonts w:ascii="宋体" w:hAnsi="宋体" w:cs="Arial" w:hint="eastAsia"/>
                <w:kern w:val="0"/>
                <w:szCs w:val="21"/>
              </w:rPr>
              <w:t>500</w:t>
            </w:r>
            <w:r w:rsidRPr="00E620F6">
              <w:rPr>
                <w:rFonts w:ascii="宋体" w:hAnsi="宋体" w:cs="Arial" w:hint="eastAsia"/>
                <w:kern w:val="0"/>
                <w:szCs w:val="21"/>
              </w:rPr>
              <w:t>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易方达沪深</w:t>
            </w:r>
            <w:r w:rsidRPr="00E620F6">
              <w:rPr>
                <w:rFonts w:ascii="宋体" w:hAnsi="宋体" w:cs="Arial" w:hint="eastAsia"/>
                <w:kern w:val="0"/>
                <w:szCs w:val="21"/>
              </w:rPr>
              <w:t>300</w:t>
            </w:r>
            <w:r w:rsidRPr="00E620F6">
              <w:rPr>
                <w:rFonts w:ascii="宋体" w:hAnsi="宋体" w:cs="Arial" w:hint="eastAsia"/>
                <w:kern w:val="0"/>
                <w:szCs w:val="21"/>
              </w:rPr>
              <w:t>医药卫生交易型开放式指数证券投资基金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易方达沪深</w:t>
            </w:r>
            <w:r w:rsidRPr="00E620F6">
              <w:rPr>
                <w:rFonts w:ascii="宋体" w:hAnsi="宋体" w:cs="Arial" w:hint="eastAsia"/>
                <w:kern w:val="0"/>
                <w:szCs w:val="21"/>
              </w:rPr>
              <w:t>300</w:t>
            </w:r>
            <w:r w:rsidRPr="00E620F6">
              <w:rPr>
                <w:rFonts w:ascii="宋体" w:hAnsi="宋体" w:cs="Arial" w:hint="eastAsia"/>
                <w:kern w:val="0"/>
                <w:szCs w:val="21"/>
              </w:rPr>
              <w:t>非银行金融交易型开放式指数证券投资基金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w:t>
            </w:r>
            <w:r w:rsidRPr="00E620F6">
              <w:rPr>
                <w:rFonts w:ascii="宋体" w:hAnsi="宋体" w:cs="Arial" w:hint="eastAsia"/>
                <w:kern w:val="0"/>
                <w:szCs w:val="21"/>
              </w:rPr>
              <w:t>MSCI</w:t>
            </w:r>
            <w:r w:rsidRPr="00E620F6">
              <w:rPr>
                <w:rFonts w:ascii="宋体" w:hAnsi="宋体" w:cs="Arial" w:hint="eastAsia"/>
                <w:kern w:val="0"/>
                <w:szCs w:val="21"/>
              </w:rPr>
              <w:t>中国</w:t>
            </w:r>
            <w:r w:rsidRPr="00E620F6">
              <w:rPr>
                <w:rFonts w:ascii="宋体" w:hAnsi="宋体" w:cs="Arial" w:hint="eastAsia"/>
                <w:kern w:val="0"/>
                <w:szCs w:val="21"/>
              </w:rPr>
              <w:t>A</w:t>
            </w:r>
            <w:r w:rsidRPr="00E620F6">
              <w:rPr>
                <w:rFonts w:ascii="宋体" w:hAnsi="宋体" w:cs="Arial" w:hint="eastAsia"/>
                <w:kern w:val="0"/>
                <w:szCs w:val="21"/>
              </w:rPr>
              <w:t>股国际通交易型开放式指数证券投资基金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易方达中证军工交易型开放式指数证券投资基金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易方达中证全指证券公司交易型开放式指数证券投资基金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易方达中证国企一带一路交易型开放式指数证券投资基金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易方达中证红利交易型开放式指数证券投资基金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w:t>
            </w:r>
            <w:r w:rsidRPr="00E620F6">
              <w:rPr>
                <w:rFonts w:ascii="宋体" w:hAnsi="宋体" w:cs="Arial" w:hint="eastAsia"/>
                <w:kern w:val="0"/>
                <w:szCs w:val="21"/>
              </w:rPr>
              <w:t>800</w:t>
            </w:r>
            <w:r w:rsidRPr="00E620F6">
              <w:rPr>
                <w:rFonts w:ascii="宋体" w:hAnsi="宋体" w:cs="Arial" w:hint="eastAsia"/>
                <w:kern w:val="0"/>
                <w:szCs w:val="21"/>
              </w:rPr>
              <w:t>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易方达中证内地低碳经济主题交易型开放式指数证券投资基金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易方达中证创新药产业交易型开放式指数证券投资基金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易方达中证新能源交易型开放式指数证券投资基金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易方达中证银行交易型开放式指数证券投资基金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易方达中证芯片产业交易型开放式指数证券投资基金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易方达中证云计算与大数据主题交易型开放式指数证券投资基金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易方达中证智能电动汽车交易型开放式指数证券投资基金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易方达中证沪港深</w:t>
            </w:r>
            <w:r w:rsidRPr="00E620F6">
              <w:rPr>
                <w:rFonts w:ascii="宋体" w:hAnsi="宋体" w:cs="Arial" w:hint="eastAsia"/>
                <w:kern w:val="0"/>
                <w:szCs w:val="21"/>
              </w:rPr>
              <w:t>500</w:t>
            </w:r>
            <w:r w:rsidRPr="00E620F6">
              <w:rPr>
                <w:rFonts w:ascii="宋体" w:hAnsi="宋体" w:cs="Arial" w:hint="eastAsia"/>
                <w:kern w:val="0"/>
                <w:szCs w:val="21"/>
              </w:rPr>
              <w:t>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454</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6,878.10</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易方达中证长江保护主题交易型开放式指数证券投资基金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易方达中证消费电子主题交易型开放式指数证券投资基金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易方达中证上海环交所碳中和交易型开放式指数证券投资基金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w:t>
            </w:r>
            <w:r w:rsidRPr="00E620F6">
              <w:rPr>
                <w:rFonts w:ascii="宋体" w:hAnsi="宋体" w:cs="Arial" w:hint="eastAsia"/>
                <w:kern w:val="0"/>
                <w:szCs w:val="21"/>
              </w:rPr>
              <w:t>MSCI</w:t>
            </w:r>
            <w:r w:rsidRPr="00E620F6">
              <w:rPr>
                <w:rFonts w:ascii="宋体" w:hAnsi="宋体" w:cs="Arial" w:hint="eastAsia"/>
                <w:kern w:val="0"/>
                <w:szCs w:val="21"/>
              </w:rPr>
              <w:t>中国</w:t>
            </w:r>
            <w:r w:rsidRPr="00E620F6">
              <w:rPr>
                <w:rFonts w:ascii="宋体" w:hAnsi="宋体" w:cs="Arial" w:hint="eastAsia"/>
                <w:kern w:val="0"/>
                <w:szCs w:val="21"/>
              </w:rPr>
              <w:t>A50</w:t>
            </w:r>
            <w:r w:rsidRPr="00E620F6">
              <w:rPr>
                <w:rFonts w:ascii="宋体" w:hAnsi="宋体" w:cs="Arial" w:hint="eastAsia"/>
                <w:kern w:val="0"/>
                <w:szCs w:val="21"/>
              </w:rPr>
              <w:t>互联互通交易型开放式指数证券投资基金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r w:rsidR="001F3A40" w:rsidTr="00E620F6">
        <w:trPr>
          <w:trHeight w:val="300"/>
        </w:trPr>
        <w:tc>
          <w:tcPr>
            <w:tcW w:w="3141" w:type="pct"/>
            <w:tcBorders>
              <w:top w:val="nil"/>
              <w:left w:val="single" w:sz="8" w:space="0" w:color="auto"/>
              <w:bottom w:val="single" w:sz="8" w:space="0" w:color="auto"/>
              <w:right w:val="single" w:sz="8" w:space="0" w:color="auto"/>
            </w:tcBorders>
            <w:shd w:val="clear" w:color="auto" w:fill="auto"/>
            <w:noWrap/>
            <w:vAlign w:val="center"/>
            <w:hideMark/>
          </w:tcPr>
          <w:p w:rsidR="00E620F6" w:rsidRPr="00E620F6" w:rsidRDefault="009C3206" w:rsidP="00E620F6">
            <w:pPr>
              <w:widowControl/>
              <w:jc w:val="center"/>
              <w:rPr>
                <w:rFonts w:ascii="宋体" w:hAnsi="宋体" w:cs="Arial"/>
                <w:kern w:val="0"/>
                <w:szCs w:val="21"/>
              </w:rPr>
            </w:pPr>
            <w:r w:rsidRPr="00E620F6">
              <w:rPr>
                <w:rFonts w:ascii="宋体" w:hAnsi="宋体" w:cs="Arial" w:hint="eastAsia"/>
                <w:kern w:val="0"/>
                <w:szCs w:val="21"/>
              </w:rPr>
              <w:t>易方达上证科创板</w:t>
            </w:r>
            <w:r w:rsidRPr="00E620F6">
              <w:rPr>
                <w:rFonts w:ascii="宋体" w:hAnsi="宋体" w:cs="Arial" w:hint="eastAsia"/>
                <w:kern w:val="0"/>
                <w:szCs w:val="21"/>
              </w:rPr>
              <w:t>50</w:t>
            </w:r>
            <w:r w:rsidRPr="00E620F6">
              <w:rPr>
                <w:rFonts w:ascii="宋体" w:hAnsi="宋体" w:cs="Arial" w:hint="eastAsia"/>
                <w:kern w:val="0"/>
                <w:szCs w:val="21"/>
              </w:rPr>
              <w:t>成份交易型开放式指数证券投资基金</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549</w:t>
            </w:r>
          </w:p>
        </w:tc>
        <w:tc>
          <w:tcPr>
            <w:tcW w:w="929" w:type="pct"/>
            <w:tcBorders>
              <w:top w:val="nil"/>
              <w:left w:val="nil"/>
              <w:bottom w:val="single" w:sz="8" w:space="0" w:color="auto"/>
              <w:right w:val="single" w:sz="8" w:space="0" w:color="auto"/>
            </w:tcBorders>
            <w:shd w:val="clear" w:color="000000" w:fill="FFFFFF"/>
            <w:noWrap/>
            <w:vAlign w:val="center"/>
            <w:hideMark/>
          </w:tcPr>
          <w:p w:rsidR="00E620F6" w:rsidRPr="00E620F6" w:rsidRDefault="009C3206" w:rsidP="00E620F6">
            <w:pPr>
              <w:widowControl/>
              <w:jc w:val="right"/>
              <w:rPr>
                <w:rFonts w:ascii="宋体" w:hAnsi="宋体" w:cs="Arial"/>
                <w:kern w:val="0"/>
                <w:szCs w:val="21"/>
              </w:rPr>
            </w:pPr>
            <w:r w:rsidRPr="00E620F6">
              <w:rPr>
                <w:rFonts w:ascii="宋体" w:hAnsi="宋体" w:cs="Arial" w:hint="eastAsia"/>
                <w:kern w:val="0"/>
                <w:szCs w:val="21"/>
              </w:rPr>
              <w:t>8,317.35</w:t>
            </w:r>
          </w:p>
        </w:tc>
      </w:tr>
    </w:tbl>
    <w:p w:rsidR="00177B3B" w:rsidRPr="001F12D1" w:rsidRDefault="00177B3B" w:rsidP="00177B3B">
      <w:pPr>
        <w:widowControl/>
        <w:spacing w:line="360" w:lineRule="auto"/>
        <w:jc w:val="left"/>
        <w:rPr>
          <w:rFonts w:asciiTheme="majorEastAsia" w:eastAsiaTheme="majorEastAsia" w:hAnsiTheme="majorEastAsia"/>
          <w:kern w:val="0"/>
          <w:sz w:val="24"/>
          <w:szCs w:val="24"/>
        </w:rPr>
      </w:pPr>
    </w:p>
    <w:p w:rsidR="00177B3B" w:rsidRPr="001F12D1" w:rsidRDefault="009C3206" w:rsidP="00177B3B">
      <w:pPr>
        <w:widowControl/>
        <w:spacing w:line="360" w:lineRule="auto"/>
        <w:ind w:firstLine="480"/>
        <w:jc w:val="left"/>
        <w:rPr>
          <w:rFonts w:asciiTheme="majorEastAsia" w:eastAsiaTheme="majorEastAsia" w:hAnsiTheme="majorEastAsia" w:cs="宋体"/>
          <w:kern w:val="0"/>
          <w:sz w:val="24"/>
        </w:rPr>
      </w:pPr>
      <w:r w:rsidRPr="001F12D1">
        <w:rPr>
          <w:rFonts w:asciiTheme="majorEastAsia" w:eastAsiaTheme="majorEastAsia" w:hAnsiTheme="majorEastAsia" w:cs="宋体" w:hint="eastAsia"/>
          <w:kern w:val="0"/>
          <w:sz w:val="24"/>
        </w:rPr>
        <w:t>特此公告。</w:t>
      </w:r>
    </w:p>
    <w:p w:rsidR="00177B3B" w:rsidRPr="001F12D1" w:rsidRDefault="009C3206" w:rsidP="00177B3B">
      <w:pPr>
        <w:widowControl/>
        <w:spacing w:line="360" w:lineRule="auto"/>
        <w:ind w:firstLine="480"/>
        <w:jc w:val="left"/>
        <w:rPr>
          <w:rFonts w:asciiTheme="majorEastAsia" w:eastAsiaTheme="majorEastAsia" w:hAnsiTheme="majorEastAsia"/>
          <w:kern w:val="0"/>
          <w:sz w:val="24"/>
        </w:rPr>
      </w:pPr>
      <w:r w:rsidRPr="001F12D1">
        <w:rPr>
          <w:rFonts w:asciiTheme="majorEastAsia" w:eastAsiaTheme="majorEastAsia" w:hAnsiTheme="majorEastAsia"/>
          <w:kern w:val="0"/>
          <w:sz w:val="24"/>
        </w:rPr>
        <w:t> </w:t>
      </w:r>
    </w:p>
    <w:p w:rsidR="00177B3B" w:rsidRPr="001F12D1" w:rsidRDefault="009C3206" w:rsidP="00177B3B">
      <w:pPr>
        <w:widowControl/>
        <w:ind w:firstLineChars="200" w:firstLine="480"/>
        <w:jc w:val="right"/>
        <w:rPr>
          <w:rFonts w:asciiTheme="majorEastAsia" w:eastAsiaTheme="majorEastAsia" w:hAnsiTheme="majorEastAsia" w:cs="宋体"/>
          <w:kern w:val="0"/>
          <w:sz w:val="24"/>
        </w:rPr>
      </w:pPr>
      <w:r w:rsidRPr="001F12D1">
        <w:rPr>
          <w:rFonts w:asciiTheme="majorEastAsia" w:eastAsiaTheme="majorEastAsia" w:hAnsiTheme="majorEastAsia"/>
          <w:kern w:val="0"/>
          <w:sz w:val="24"/>
        </w:rPr>
        <w:t xml:space="preserve">    </w:t>
      </w:r>
      <w:r w:rsidRPr="001F12D1">
        <w:rPr>
          <w:rFonts w:asciiTheme="majorEastAsia" w:eastAsiaTheme="majorEastAsia" w:hAnsiTheme="majorEastAsia" w:cs="宋体" w:hint="eastAsia"/>
          <w:kern w:val="0"/>
          <w:sz w:val="24"/>
        </w:rPr>
        <w:t xml:space="preserve">　　　　　　　</w:t>
      </w:r>
    </w:p>
    <w:p w:rsidR="00177B3B" w:rsidRPr="001F12D1" w:rsidRDefault="009C3206" w:rsidP="009C3206">
      <w:pPr>
        <w:widowControl/>
        <w:ind w:right="723" w:firstLineChars="200" w:firstLine="482"/>
        <w:jc w:val="right"/>
        <w:rPr>
          <w:rFonts w:asciiTheme="majorEastAsia" w:eastAsiaTheme="majorEastAsia" w:hAnsiTheme="majorEastAsia" w:cs="宋体"/>
          <w:b/>
          <w:kern w:val="0"/>
          <w:sz w:val="24"/>
        </w:rPr>
      </w:pPr>
      <w:r w:rsidRPr="001F12D1">
        <w:rPr>
          <w:rFonts w:asciiTheme="majorEastAsia" w:eastAsiaTheme="majorEastAsia" w:hAnsiTheme="majorEastAsia" w:cs="宋体" w:hint="eastAsia"/>
          <w:b/>
          <w:kern w:val="0"/>
          <w:sz w:val="24"/>
        </w:rPr>
        <w:t>易方达基金管理有限公司</w:t>
      </w:r>
    </w:p>
    <w:p w:rsidR="00177B3B" w:rsidRPr="001F12D1" w:rsidRDefault="009C3206" w:rsidP="00177B3B">
      <w:pPr>
        <w:widowControl/>
        <w:wordWrap w:val="0"/>
        <w:ind w:right="964"/>
        <w:jc w:val="right"/>
        <w:rPr>
          <w:rFonts w:asciiTheme="majorEastAsia" w:eastAsiaTheme="majorEastAsia" w:hAnsiTheme="majorEastAsia" w:cs="宋体"/>
          <w:kern w:val="0"/>
          <w:szCs w:val="21"/>
        </w:rPr>
      </w:pPr>
      <w:r w:rsidRPr="001F12D1">
        <w:rPr>
          <w:rFonts w:asciiTheme="majorEastAsia" w:eastAsiaTheme="majorEastAsia" w:hAnsiTheme="majorEastAsia" w:cs="宋体" w:hint="eastAsia"/>
          <w:b/>
          <w:bCs/>
          <w:kern w:val="0"/>
          <w:szCs w:val="21"/>
        </w:rPr>
        <w:t>202</w:t>
      </w:r>
      <w:r>
        <w:rPr>
          <w:rFonts w:asciiTheme="majorEastAsia" w:eastAsiaTheme="majorEastAsia" w:hAnsiTheme="majorEastAsia" w:cs="宋体" w:hint="eastAsia"/>
          <w:b/>
          <w:bCs/>
          <w:kern w:val="0"/>
          <w:szCs w:val="21"/>
        </w:rPr>
        <w:t>2</w:t>
      </w:r>
      <w:r w:rsidRPr="001F12D1">
        <w:rPr>
          <w:rFonts w:asciiTheme="majorEastAsia" w:eastAsiaTheme="majorEastAsia" w:hAnsiTheme="majorEastAsia" w:cs="宋体" w:hint="eastAsia"/>
          <w:b/>
          <w:bCs/>
          <w:kern w:val="0"/>
          <w:szCs w:val="21"/>
        </w:rPr>
        <w:t>年</w:t>
      </w:r>
      <w:r w:rsidR="002B36C1">
        <w:rPr>
          <w:rFonts w:asciiTheme="majorEastAsia" w:eastAsiaTheme="majorEastAsia" w:hAnsiTheme="majorEastAsia" w:cs="宋体"/>
          <w:b/>
          <w:bCs/>
          <w:kern w:val="0"/>
          <w:szCs w:val="21"/>
        </w:rPr>
        <w:t>9</w:t>
      </w:r>
      <w:r w:rsidRPr="001F12D1">
        <w:rPr>
          <w:rFonts w:asciiTheme="majorEastAsia" w:eastAsiaTheme="majorEastAsia" w:hAnsiTheme="majorEastAsia" w:cs="宋体" w:hint="eastAsia"/>
          <w:b/>
          <w:bCs/>
          <w:kern w:val="0"/>
          <w:szCs w:val="21"/>
        </w:rPr>
        <w:t>月</w:t>
      </w:r>
      <w:r w:rsidR="003C0DBE">
        <w:rPr>
          <w:rFonts w:asciiTheme="majorEastAsia" w:eastAsiaTheme="majorEastAsia" w:hAnsiTheme="majorEastAsia" w:cs="宋体" w:hint="eastAsia"/>
          <w:b/>
          <w:bCs/>
          <w:kern w:val="0"/>
          <w:szCs w:val="21"/>
        </w:rPr>
        <w:t>21</w:t>
      </w:r>
      <w:bookmarkStart w:id="0" w:name="_GoBack"/>
      <w:bookmarkEnd w:id="0"/>
      <w:r w:rsidRPr="001F12D1">
        <w:rPr>
          <w:rFonts w:asciiTheme="majorEastAsia" w:eastAsiaTheme="majorEastAsia" w:hAnsiTheme="majorEastAsia" w:cs="宋体" w:hint="eastAsia"/>
          <w:b/>
          <w:bCs/>
          <w:kern w:val="0"/>
          <w:szCs w:val="21"/>
        </w:rPr>
        <w:t>日</w:t>
      </w:r>
    </w:p>
    <w:p w:rsidR="00177B3B" w:rsidRPr="001F12D1" w:rsidRDefault="00177B3B" w:rsidP="00177B3B">
      <w:pPr>
        <w:rPr>
          <w:rFonts w:asciiTheme="majorEastAsia" w:eastAsiaTheme="majorEastAsia" w:hAnsiTheme="majorEastAsia"/>
        </w:rPr>
      </w:pPr>
    </w:p>
    <w:p w:rsidR="00177B3B" w:rsidRPr="001F12D1" w:rsidRDefault="00177B3B" w:rsidP="00177B3B">
      <w:pPr>
        <w:rPr>
          <w:rFonts w:asciiTheme="majorEastAsia" w:eastAsiaTheme="majorEastAsia" w:hAnsiTheme="majorEastAsia"/>
        </w:rPr>
      </w:pPr>
    </w:p>
    <w:p w:rsidR="00F561F7" w:rsidRPr="00177B3B" w:rsidRDefault="00F561F7" w:rsidP="00C85A50"/>
    <w:sectPr w:rsidR="00F561F7" w:rsidRPr="00177B3B" w:rsidSect="006D05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idp.efunds.com.cn/api/v1/backend/docSyncController/downloadAnnFile.json?force=true&amp;fileName=%E6%98%93%E6%96%B9%E8%BE%BE%E5%9F%BA%E9%87%91%E7%AE%A1%E7%90%86%E6%9C%89%E9%99%90%E5%85%AC%E5%8F%B8%E5%85%B3%E4%BA%8E%E6%97%97%E4%B8%8B%E5%9F%BA%E9%87%91%E7%94%B3%E8%B4%AD%E4%B8%AD%E5%9B%BD%E7%A7%BB%E5%8A%A8%E6%9C%89%E9%99%90%E5%85%AC%E5%8F%B8%E9%A6%96%E6%AC%A1%E5%85%AC%E5%BC%80%E5%8F%91%E8%A1%8C%E8%82%A1%E7%A5%A8%E7%9A%84%E5%85%AC%E5%91%8A.docx&amp;fileId=ANN_DOC_11453&amp;t=1640338996799"/>
  </w:docVars>
  <w:rsids>
    <w:rsidRoot w:val="00D40F64"/>
    <w:rsid w:val="00037F8D"/>
    <w:rsid w:val="000F1B3C"/>
    <w:rsid w:val="00177B3B"/>
    <w:rsid w:val="0018047E"/>
    <w:rsid w:val="001C62C9"/>
    <w:rsid w:val="001E31BA"/>
    <w:rsid w:val="001F12D1"/>
    <w:rsid w:val="001F3A40"/>
    <w:rsid w:val="00225437"/>
    <w:rsid w:val="00282BB5"/>
    <w:rsid w:val="002B36C1"/>
    <w:rsid w:val="002E42F7"/>
    <w:rsid w:val="002F12C4"/>
    <w:rsid w:val="00304C1B"/>
    <w:rsid w:val="00351EB9"/>
    <w:rsid w:val="003A7524"/>
    <w:rsid w:val="003C0DBE"/>
    <w:rsid w:val="003C560F"/>
    <w:rsid w:val="003F0261"/>
    <w:rsid w:val="0041754A"/>
    <w:rsid w:val="0042083E"/>
    <w:rsid w:val="00425E3F"/>
    <w:rsid w:val="00434C61"/>
    <w:rsid w:val="00445FC6"/>
    <w:rsid w:val="004A6BA6"/>
    <w:rsid w:val="004C77B0"/>
    <w:rsid w:val="004E5A83"/>
    <w:rsid w:val="004F1B0A"/>
    <w:rsid w:val="005116B8"/>
    <w:rsid w:val="0052196E"/>
    <w:rsid w:val="00583174"/>
    <w:rsid w:val="005972B2"/>
    <w:rsid w:val="005D572F"/>
    <w:rsid w:val="00632910"/>
    <w:rsid w:val="00636371"/>
    <w:rsid w:val="00643147"/>
    <w:rsid w:val="0069676A"/>
    <w:rsid w:val="006B006F"/>
    <w:rsid w:val="006B6352"/>
    <w:rsid w:val="006C066C"/>
    <w:rsid w:val="006D05F5"/>
    <w:rsid w:val="007124FD"/>
    <w:rsid w:val="0077544C"/>
    <w:rsid w:val="007A3C4F"/>
    <w:rsid w:val="00937D43"/>
    <w:rsid w:val="00954324"/>
    <w:rsid w:val="009C3206"/>
    <w:rsid w:val="009F5D05"/>
    <w:rsid w:val="009F700D"/>
    <w:rsid w:val="00A3075A"/>
    <w:rsid w:val="00A528BA"/>
    <w:rsid w:val="00AD1CEF"/>
    <w:rsid w:val="00B20F09"/>
    <w:rsid w:val="00B56F95"/>
    <w:rsid w:val="00C251FE"/>
    <w:rsid w:val="00C35CB6"/>
    <w:rsid w:val="00C85A50"/>
    <w:rsid w:val="00D11E8C"/>
    <w:rsid w:val="00D34298"/>
    <w:rsid w:val="00D40F64"/>
    <w:rsid w:val="00D75BCE"/>
    <w:rsid w:val="00DF5CDD"/>
    <w:rsid w:val="00E00FAE"/>
    <w:rsid w:val="00E620F6"/>
    <w:rsid w:val="00E905FC"/>
    <w:rsid w:val="00EE1D32"/>
    <w:rsid w:val="00EF58BF"/>
    <w:rsid w:val="00EF791A"/>
    <w:rsid w:val="00F254EC"/>
    <w:rsid w:val="00F431E2"/>
    <w:rsid w:val="00F561F7"/>
    <w:rsid w:val="00F649D0"/>
    <w:rsid w:val="00F830F1"/>
    <w:rsid w:val="00FB3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C6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434C61"/>
    <w:rPr>
      <w:sz w:val="18"/>
      <w:szCs w:val="18"/>
    </w:rPr>
  </w:style>
  <w:style w:type="paragraph" w:styleId="a4">
    <w:name w:val="footer"/>
    <w:basedOn w:val="a"/>
    <w:link w:val="Char0"/>
    <w:uiPriority w:val="99"/>
    <w:unhideWhenUsed/>
    <w:rsid w:val="00434C61"/>
    <w:pPr>
      <w:tabs>
        <w:tab w:val="center" w:pos="4153"/>
        <w:tab w:val="right" w:pos="8306"/>
      </w:tabs>
      <w:snapToGrid w:val="0"/>
      <w:jc w:val="left"/>
    </w:pPr>
    <w:rPr>
      <w:kern w:val="0"/>
      <w:sz w:val="18"/>
      <w:szCs w:val="18"/>
    </w:rPr>
  </w:style>
  <w:style w:type="character" w:customStyle="1" w:styleId="Char0">
    <w:name w:val="页脚 Char"/>
    <w:link w:val="a4"/>
    <w:uiPriority w:val="99"/>
    <w:rsid w:val="00434C61"/>
    <w:rPr>
      <w:sz w:val="18"/>
      <w:szCs w:val="18"/>
    </w:rPr>
  </w:style>
  <w:style w:type="character" w:styleId="a5">
    <w:name w:val="annotation reference"/>
    <w:semiHidden/>
    <w:rsid w:val="00434C61"/>
    <w:rPr>
      <w:rFonts w:cs="Times New Roman"/>
      <w:sz w:val="21"/>
      <w:szCs w:val="21"/>
    </w:rPr>
  </w:style>
  <w:style w:type="paragraph" w:styleId="a6">
    <w:name w:val="annotation text"/>
    <w:basedOn w:val="a"/>
    <w:link w:val="Char1"/>
    <w:semiHidden/>
    <w:rsid w:val="00434C61"/>
    <w:pPr>
      <w:jc w:val="left"/>
    </w:pPr>
    <w:rPr>
      <w:kern w:val="0"/>
      <w:sz w:val="20"/>
      <w:szCs w:val="20"/>
    </w:rPr>
  </w:style>
  <w:style w:type="character" w:customStyle="1" w:styleId="Char1">
    <w:name w:val="批注文字 Char"/>
    <w:link w:val="a6"/>
    <w:semiHidden/>
    <w:rsid w:val="00434C61"/>
    <w:rPr>
      <w:rFonts w:ascii="Calibri" w:eastAsia="宋体" w:hAnsi="Calibri" w:cs="Times New Roman"/>
    </w:rPr>
  </w:style>
  <w:style w:type="paragraph" w:styleId="a7">
    <w:name w:val="Balloon Text"/>
    <w:basedOn w:val="a"/>
    <w:link w:val="Char2"/>
    <w:uiPriority w:val="99"/>
    <w:semiHidden/>
    <w:unhideWhenUsed/>
    <w:rsid w:val="00434C61"/>
    <w:rPr>
      <w:kern w:val="0"/>
      <w:sz w:val="18"/>
      <w:szCs w:val="18"/>
    </w:rPr>
  </w:style>
  <w:style w:type="character" w:customStyle="1" w:styleId="Char2">
    <w:name w:val="批注框文本 Char"/>
    <w:link w:val="a7"/>
    <w:uiPriority w:val="99"/>
    <w:semiHidden/>
    <w:rsid w:val="00434C61"/>
    <w:rPr>
      <w:rFonts w:ascii="Calibri" w:eastAsia="宋体" w:hAnsi="Calibri" w:cs="Times New Roman"/>
      <w:sz w:val="18"/>
      <w:szCs w:val="18"/>
    </w:rPr>
  </w:style>
  <w:style w:type="character" w:styleId="a8">
    <w:name w:val="Strong"/>
    <w:uiPriority w:val="99"/>
    <w:qFormat/>
    <w:rsid w:val="006B006F"/>
    <w:rPr>
      <w:rFonts w:ascii="Times New Roman" w:hAnsi="Times New Roman" w:cs="Times New Roman" w:hint="default"/>
      <w:b/>
      <w:bCs/>
    </w:rPr>
  </w:style>
  <w:style w:type="paragraph" w:customStyle="1" w:styleId="font14">
    <w:name w:val="font14"/>
    <w:basedOn w:val="a"/>
    <w:uiPriority w:val="99"/>
    <w:rsid w:val="006B006F"/>
    <w:pPr>
      <w:widowControl/>
      <w:spacing w:before="100" w:beforeAutospacing="1" w:after="100" w:afterAutospacing="1" w:line="360" w:lineRule="auto"/>
      <w:jc w:val="left"/>
    </w:pPr>
    <w:rPr>
      <w:rFonts w:ascii="宋体" w:hAnsi="宋体" w:cs="宋体"/>
      <w:kern w:val="0"/>
      <w:sz w:val="19"/>
      <w:szCs w:val="19"/>
    </w:rPr>
  </w:style>
  <w:style w:type="paragraph" w:customStyle="1" w:styleId="Default">
    <w:name w:val="Default"/>
    <w:rsid w:val="006B006F"/>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55329-26E2-46D9-B6E4-14BD4EB1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5377</Characters>
  <Application>Microsoft Office Word</Application>
  <DocSecurity>4</DocSecurity>
  <Lines>44</Lines>
  <Paragraphs>12</Paragraphs>
  <ScaleCrop>false</ScaleCrop>
  <Company>京华信息</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张又飞</dc:creator>
  <cp:lastModifiedBy>ZHONGM</cp:lastModifiedBy>
  <cp:revision>2</cp:revision>
  <dcterms:created xsi:type="dcterms:W3CDTF">2022-09-20T16:02:00Z</dcterms:created>
  <dcterms:modified xsi:type="dcterms:W3CDTF">2022-09-20T16:02:00Z</dcterms:modified>
</cp:coreProperties>
</file>