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0E32C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0E32C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9A04FD">
        <w:rPr>
          <w:rFonts w:ascii="仿宋" w:eastAsia="仿宋" w:hAnsi="仿宋" w:cs="Times New Roman"/>
          <w:b/>
          <w:color w:val="000000"/>
          <w:sz w:val="32"/>
          <w:szCs w:val="32"/>
        </w:rPr>
        <w:t>2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中期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报告提示性公告</w:t>
      </w:r>
    </w:p>
    <w:p w:rsidR="008D7229" w:rsidRPr="008D7229" w:rsidRDefault="008D7229" w:rsidP="000E32C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9A04FD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 w:hint="eastAsia"/>
          <w:color w:val="000000"/>
          <w:sz w:val="32"/>
          <w:szCs w:val="32"/>
        </w:rPr>
        <w:t>中期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A04FD" w:rsidRDefault="009A04FD" w:rsidP="009A04FD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公司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泰达宏利中证500指数增强型证券投资基金（LOF)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泰达宏利永利债券型证券投资基金、泰达宏利消费行业量化精选混合型证券投资基金、泰达宏利养老目标日期2040三年持有期混合型发起式基金中基金(FOF)、泰达宏利中证主要消费红利指数型证券投资基金、泰达宏利泰和稳健养老目标一年持有期混合型基金中基金(FOF)、泰达宏利价值长青混合型证券投资基金、泰达宏利中证申万绩优策略指数增强型证券投资基金、泰达宏利乐盈66个月定期开放债券型证券投资基金、泰达宏利高研发创新6个月持有期混合型证券投资基金、泰达宏利波控回报12个月持有期混合型证券投资基金、泰达宏利消费服务混合型证券投资基金、泰达宏利新能源股票型证券投资基金、泰达宏利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中债1-5年国开行债券指数证券投资基金、泰达宏利新兴景气龙头混合型证券投资基金、泰达宏利悠然养老目标日期2025一年持有期混合型基金中基金（FOF）、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泰达宏利景气领航两年持有期混合型证券投资基金、泰达宏利中短债债券型证券投资基金、泰达宏利先进制造股票型证券投资基金、泰达宏利景气智选18个月持有期混合型证券投资基金、泰达宏利闽利一年定期开放债券型发起式证券投资基金、泰达宏利昇利一年定期开放债券型发起式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的2022年中期报告全文于2022年</w:t>
      </w:r>
      <w:r>
        <w:rPr>
          <w:rFonts w:ascii="仿宋" w:eastAsia="仿宋" w:hAnsi="仿宋" w:cs="Times New Roman"/>
          <w:color w:val="000000"/>
          <w:sz w:val="32"/>
          <w:szCs w:val="32"/>
        </w:rPr>
        <w:t>8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月3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日在本公司网站（http://www.mfcteda.com）和中国证监会基金电子披露网站（</w:t>
      </w:r>
      <w:r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）披露，供投资者查阅。如有疑问可拨打本公司客服电话（400-698-8888或010-66555662）咨询。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9A04FD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647923">
        <w:rPr>
          <w:rFonts w:ascii="仿宋" w:eastAsia="仿宋" w:hAnsi="仿宋" w:cs="Times New Roman"/>
          <w:color w:val="000000"/>
          <w:sz w:val="32"/>
          <w:szCs w:val="32"/>
        </w:rPr>
        <w:t>31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22" w:rsidRDefault="00855D22" w:rsidP="008D7229">
      <w:r>
        <w:separator/>
      </w:r>
    </w:p>
  </w:endnote>
  <w:endnote w:type="continuationSeparator" w:id="0">
    <w:p w:rsidR="00855D22" w:rsidRDefault="00855D22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679B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E32C1" w:rsidRPr="000E32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E32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679B8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E32C1" w:rsidRPr="000E32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E32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22" w:rsidRDefault="00855D22" w:rsidP="008D7229">
      <w:r>
        <w:separator/>
      </w:r>
    </w:p>
  </w:footnote>
  <w:footnote w:type="continuationSeparator" w:id="0">
    <w:p w:rsidR="00855D22" w:rsidRDefault="00855D22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0E32C1"/>
    <w:rsid w:val="001C0CD9"/>
    <w:rsid w:val="001C279A"/>
    <w:rsid w:val="001C3861"/>
    <w:rsid w:val="0021715F"/>
    <w:rsid w:val="002679B8"/>
    <w:rsid w:val="002978FC"/>
    <w:rsid w:val="003736AD"/>
    <w:rsid w:val="004F06FA"/>
    <w:rsid w:val="005272D0"/>
    <w:rsid w:val="00562F39"/>
    <w:rsid w:val="00647923"/>
    <w:rsid w:val="00662AEF"/>
    <w:rsid w:val="00697A19"/>
    <w:rsid w:val="00770C49"/>
    <w:rsid w:val="00855D22"/>
    <w:rsid w:val="00880C93"/>
    <w:rsid w:val="008D7229"/>
    <w:rsid w:val="009A04FD"/>
    <w:rsid w:val="00A55BF2"/>
    <w:rsid w:val="00BC6085"/>
    <w:rsid w:val="00CB37BD"/>
    <w:rsid w:val="00D65570"/>
    <w:rsid w:val="00EE28B0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Application>Microsoft Office Word</Application>
  <DocSecurity>4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2022-08-30T16:03:00Z</dcterms:created>
  <dcterms:modified xsi:type="dcterms:W3CDTF">2022-08-30T16:03:00Z</dcterms:modified>
</cp:coreProperties>
</file>