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D122E7">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D122E7">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2B2DC3">
        <w:rPr>
          <w:rFonts w:ascii="仿宋" w:eastAsia="仿宋" w:hAnsi="仿宋" w:hint="eastAsia"/>
          <w:b/>
          <w:color w:val="000000" w:themeColor="text1"/>
          <w:sz w:val="32"/>
          <w:szCs w:val="32"/>
        </w:rPr>
        <w:t>202</w:t>
      </w:r>
      <w:r w:rsidR="007C0643">
        <w:rPr>
          <w:rFonts w:ascii="仿宋" w:eastAsia="仿宋" w:hAnsi="仿宋"/>
          <w:b/>
          <w:color w:val="000000" w:themeColor="text1"/>
          <w:sz w:val="32"/>
          <w:szCs w:val="32"/>
        </w:rPr>
        <w:t>2</w:t>
      </w:r>
      <w:r w:rsidR="002B2DC3">
        <w:rPr>
          <w:rFonts w:ascii="仿宋" w:eastAsia="仿宋" w:hAnsi="仿宋" w:hint="eastAsia"/>
          <w:b/>
          <w:color w:val="000000" w:themeColor="text1"/>
          <w:sz w:val="32"/>
          <w:szCs w:val="32"/>
        </w:rPr>
        <w:t>年</w:t>
      </w:r>
      <w:r w:rsidR="00007363">
        <w:rPr>
          <w:rFonts w:ascii="仿宋" w:eastAsia="仿宋" w:hAnsi="仿宋" w:hint="eastAsia"/>
          <w:b/>
          <w:color w:val="000000" w:themeColor="text1"/>
          <w:sz w:val="32"/>
          <w:szCs w:val="32"/>
        </w:rPr>
        <w:t>中期报告</w:t>
      </w:r>
      <w:r w:rsidR="00DF201A" w:rsidRPr="00DF201A">
        <w:rPr>
          <w:rFonts w:ascii="仿宋" w:eastAsia="仿宋" w:hAnsi="仿宋" w:hint="eastAsia"/>
          <w:b/>
          <w:color w:val="000000" w:themeColor="text1"/>
          <w:sz w:val="32"/>
          <w:szCs w:val="32"/>
        </w:rPr>
        <w:t>提示性公告</w:t>
      </w:r>
    </w:p>
    <w:p w:rsidR="00DF201A" w:rsidRPr="00A861B4"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007363">
        <w:rPr>
          <w:rFonts w:ascii="仿宋" w:eastAsia="仿宋" w:hAnsi="仿宋" w:hint="eastAsia"/>
          <w:color w:val="000000" w:themeColor="text1"/>
          <w:sz w:val="32"/>
          <w:szCs w:val="32"/>
        </w:rPr>
        <w:t>中期</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2B2DC3">
        <w:rPr>
          <w:rFonts w:ascii="仿宋" w:eastAsia="仿宋" w:hAnsi="仿宋" w:hint="eastAsia"/>
          <w:color w:val="000000" w:themeColor="text1"/>
          <w:sz w:val="32"/>
          <w:szCs w:val="32"/>
        </w:rPr>
        <w:t>202</w:t>
      </w:r>
      <w:r w:rsidR="007C0643">
        <w:rPr>
          <w:rFonts w:ascii="仿宋" w:eastAsia="仿宋" w:hAnsi="仿宋"/>
          <w:color w:val="000000" w:themeColor="text1"/>
          <w:sz w:val="32"/>
          <w:szCs w:val="32"/>
        </w:rPr>
        <w:t>2</w:t>
      </w:r>
      <w:r w:rsidR="002B2DC3">
        <w:rPr>
          <w:rFonts w:ascii="仿宋" w:eastAsia="仿宋" w:hAnsi="仿宋" w:hint="eastAsia"/>
          <w:color w:val="000000" w:themeColor="text1"/>
          <w:sz w:val="32"/>
          <w:szCs w:val="32"/>
        </w:rPr>
        <w:t>年</w:t>
      </w:r>
      <w:r w:rsidR="00007363">
        <w:rPr>
          <w:rFonts w:ascii="仿宋" w:eastAsia="仿宋" w:hAnsi="仿宋" w:hint="eastAsia"/>
          <w:color w:val="000000" w:themeColor="text1"/>
          <w:sz w:val="32"/>
          <w:szCs w:val="32"/>
        </w:rPr>
        <w:t>中期报告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2B2DC3">
        <w:rPr>
          <w:rFonts w:ascii="仿宋" w:eastAsia="仿宋" w:hAnsi="仿宋" w:hint="eastAsia"/>
          <w:color w:val="000000" w:themeColor="text1"/>
          <w:sz w:val="32"/>
          <w:szCs w:val="32"/>
        </w:rPr>
        <w:t>2</w:t>
      </w:r>
      <w:r w:rsidR="002B2DC3">
        <w:rPr>
          <w:rFonts w:ascii="仿宋" w:eastAsia="仿宋" w:hAnsi="仿宋"/>
          <w:color w:val="000000" w:themeColor="text1"/>
          <w:sz w:val="32"/>
          <w:szCs w:val="32"/>
        </w:rPr>
        <w:t>02</w:t>
      </w:r>
      <w:r w:rsidR="007C0643">
        <w:rPr>
          <w:rFonts w:ascii="仿宋" w:eastAsia="仿宋" w:hAnsi="仿宋"/>
          <w:color w:val="000000" w:themeColor="text1"/>
          <w:sz w:val="32"/>
          <w:szCs w:val="32"/>
        </w:rPr>
        <w:t>2</w:t>
      </w:r>
      <w:r w:rsidR="002B2DC3">
        <w:rPr>
          <w:rFonts w:ascii="仿宋" w:eastAsia="仿宋" w:hAnsi="仿宋" w:hint="eastAsia"/>
          <w:color w:val="000000" w:themeColor="text1"/>
          <w:sz w:val="32"/>
          <w:szCs w:val="32"/>
        </w:rPr>
        <w:t>年</w:t>
      </w:r>
      <w:r w:rsidR="00007363">
        <w:rPr>
          <w:rFonts w:ascii="仿宋" w:eastAsia="仿宋" w:hAnsi="仿宋"/>
          <w:color w:val="000000" w:themeColor="text1"/>
          <w:sz w:val="32"/>
          <w:szCs w:val="32"/>
        </w:rPr>
        <w:t>8</w:t>
      </w:r>
      <w:r w:rsidR="00DF201A">
        <w:rPr>
          <w:rFonts w:ascii="仿宋" w:eastAsia="仿宋" w:hAnsi="仿宋" w:hint="eastAsia"/>
          <w:color w:val="000000" w:themeColor="text1"/>
          <w:sz w:val="32"/>
          <w:szCs w:val="32"/>
        </w:rPr>
        <w:t>月</w:t>
      </w:r>
      <w:r w:rsidR="007C0643">
        <w:rPr>
          <w:rFonts w:ascii="仿宋" w:eastAsia="仿宋" w:hAnsi="仿宋"/>
          <w:color w:val="000000" w:themeColor="text1"/>
          <w:sz w:val="32"/>
          <w:szCs w:val="32"/>
        </w:rPr>
        <w:t>31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AE296E">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8227"/>
      </w:tblGrid>
      <w:tr w:rsidR="007C0643" w:rsidRPr="00F06A78" w:rsidTr="007C0643">
        <w:trPr>
          <w:trHeight w:val="367"/>
          <w:jc w:val="center"/>
        </w:trPr>
        <w:tc>
          <w:tcPr>
            <w:tcW w:w="840" w:type="dxa"/>
            <w:shd w:val="clear" w:color="auto" w:fill="auto"/>
            <w:vAlign w:val="center"/>
            <w:hideMark/>
          </w:tcPr>
          <w:p w:rsidR="007C0643" w:rsidRPr="00F06A78" w:rsidRDefault="007C0643" w:rsidP="006E54D4">
            <w:pPr>
              <w:widowControl/>
              <w:jc w:val="center"/>
              <w:rPr>
                <w:rFonts w:ascii="仿宋" w:eastAsia="仿宋" w:hAnsi="仿宋" w:cs="宋体"/>
                <w:b/>
                <w:bCs/>
                <w:color w:val="000000"/>
                <w:kern w:val="0"/>
                <w:sz w:val="24"/>
                <w:szCs w:val="24"/>
              </w:rPr>
            </w:pPr>
            <w:r w:rsidRPr="00F06A78">
              <w:rPr>
                <w:rFonts w:ascii="仿宋" w:eastAsia="仿宋" w:hAnsi="仿宋" w:cs="宋体" w:hint="eastAsia"/>
                <w:b/>
                <w:bCs/>
                <w:color w:val="000000"/>
                <w:kern w:val="0"/>
                <w:sz w:val="24"/>
                <w:szCs w:val="24"/>
              </w:rPr>
              <w:t>序号</w:t>
            </w:r>
          </w:p>
        </w:tc>
        <w:tc>
          <w:tcPr>
            <w:tcW w:w="8227" w:type="dxa"/>
            <w:shd w:val="clear" w:color="auto" w:fill="auto"/>
            <w:vAlign w:val="center"/>
            <w:hideMark/>
          </w:tcPr>
          <w:p w:rsidR="007C0643" w:rsidRPr="00F06A78" w:rsidRDefault="007C0643" w:rsidP="006E54D4">
            <w:pPr>
              <w:widowControl/>
              <w:jc w:val="center"/>
              <w:rPr>
                <w:rFonts w:ascii="仿宋" w:eastAsia="仿宋" w:hAnsi="仿宋" w:cs="宋体"/>
                <w:b/>
                <w:bCs/>
                <w:color w:val="000000"/>
                <w:kern w:val="0"/>
                <w:sz w:val="24"/>
                <w:szCs w:val="24"/>
              </w:rPr>
            </w:pPr>
            <w:r w:rsidRPr="00F06A78">
              <w:rPr>
                <w:rFonts w:ascii="仿宋" w:eastAsia="仿宋" w:hAnsi="仿宋" w:cs="宋体" w:hint="eastAsia"/>
                <w:b/>
                <w:bCs/>
                <w:color w:val="000000"/>
                <w:kern w:val="0"/>
                <w:sz w:val="24"/>
                <w:szCs w:val="24"/>
              </w:rPr>
              <w:t>基金名称</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景顺长城优选混合型证券投资基金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景顺长城货币市场证券投资基金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景顺长城动力平衡证券投资基金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景顺长城内需增长混合型证券投资基金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景顺长城鼎益混合型证券投资基金(LOF)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景顺长城资源垄断混合型证券投资基金(LOF)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景顺长城新兴成长混合型证券投资基金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景顺长城内需增长贰号混合型证券投资基金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景顺长城精选蓝筹混合型证券投资基金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lastRenderedPageBreak/>
              <w:t>10</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景顺长城公司治理混合型证券投资基金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景顺长城能源基建混合型证券投资基金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景顺长城中小盘混合型证券投资基金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景顺长城稳定收益债券型证券投资基金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景顺长城大中华混合型证券投资基金（QDII）</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景顺长城核心竞争力混合型证券投资基金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16</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景顺长城优信增利债券型证券投资基金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景顺长城支柱产业混合型证券投资基金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景顺长城品质投资混合型证券投资基金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19</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景顺长城四季金利债券型证券投资基金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景顺长城策略精选灵活配置混合型证券投资基金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景顺长城景兴信用纯债债券型证券投资基金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22</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景顺长城沪深300指数增强型证券投资基金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景顺长城景颐双利债券型证券投资基金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景顺长城景益货币市场基金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25</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景顺长城成长之星股票型证券投资基金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景顺长城优质成长股票型证券投资基金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28</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景顺长城优势企业混合型证券投资基金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29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景顺长城鑫月薪定期支付债券型证券投资基金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景顺长城中小创精选股票型证券投资基金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lastRenderedPageBreak/>
              <w:t>31</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景顺长城中证科技传媒通信150交易型开放式指数证券投资基金（ETF）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景顺长城研究精选股票型证券投资基金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景顺长城景丰货币市场基金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34</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景顺长城中国回报灵活配置混合型证券投资基金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景顺长城量化精选股票型证券投资基金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景顺长城稳健回报灵活配置混合型证券投资基金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37</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景顺长城沪港深精选股票型证券投资基金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景顺长城领先回报灵活配置混合型证券投资基金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39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景顺长城中证科技传媒通信150交易型开放式指数证券投资基金联接基金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40</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景顺长城安享回报灵活配置混合型证券投资基金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景顺长城中证500交易型开放式指数证券投资基金联接基金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景顺长城泰和回报灵活配置混合型证券投资基金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43</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景顺长城景瑞收益债券型证券投资基金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景顺长城改革机遇灵活配置混合型证券投资基金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景顺长城景盛双息收益债券型证券投资基金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46</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景顺长城低碳科技主题灵活配置混合型证券投资基金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景顺长城环保优势股票型证券投资基金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景顺长城量化新动力股票型证券投资基金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49</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景顺长城景盈双利债券型证券投资基金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景顺长城景泰汇利定期开放债券型证券投资基金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景顺长城顺益回报混合型证券投资基金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52</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景顺长城泰安回报灵活配置混合型证券投资基金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景顺长城景泰丰利纯债债券型证券投资基金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景顺长城景颐丰利债券型证券投资基金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55</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景顺长城政策性金融债债券型证券投资基金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景顺长城中证500行业中性低波动指数型证券投资基金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景顺长城沪港深领先科技股票型证券投资基金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58</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景顺长城睿成灵活配置混合型证券投资基金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59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景顺长城景泰稳利定期开放债券型证券投资基金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景顺长城量化平衡灵活配置混合型证券投资基金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61</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景顺长城泰恒回报灵活配置混合型证券投资基金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景顺长城量化小盘股票型证券投资基金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景顺长城MSCI中国A股国际通交易型开放式指数证券投资基金（ETF）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64</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景顺长城MSCI中国A股国际通指数增强型证券投资基金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景顺长城量化先锋混合型证券投资基金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景顺长城景泰聚利纯债债券型证券投资基金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67</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景顺长城景泰鑫利纯债债券型证券投资基金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景顺长城智能生活混合型证券投资基金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69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景顺长城中证500指数增强型证券投资基金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70</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景顺长城集英成长两年定期开放混合型证券投资基金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景顺长城量化港股通股票型证券投资基金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景顺长城景泰盈利纯债债券型证券投资基金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73</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景顺长城绩优成长混合型证券投资基金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景顺长城中短债债券型证券投资基金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景顺长城中证沪港深红利成长低波动指数型证券投资基金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76</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景顺长城稳健养老目标三年持有期混合型发起式基金中基金（FOF）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景顺长城创新成长混合型证券投资基金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景顺长城景泰纯利债券型证券投资基金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79</w:t>
            </w:r>
          </w:p>
        </w:tc>
        <w:tc>
          <w:tcPr>
            <w:tcW w:w="8227" w:type="dxa"/>
            <w:shd w:val="clear" w:color="000000" w:fill="FFFFFF"/>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景顺长城养老目标日期2045五年持有期混合型发起式基金中基金（FOF）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80</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景顺长城弘利39个月定期开放债券型证券投资基金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81</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景顺长城品质成长混合型证券投资基金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82</w:t>
            </w:r>
          </w:p>
        </w:tc>
        <w:tc>
          <w:tcPr>
            <w:tcW w:w="8227" w:type="dxa"/>
            <w:shd w:val="clear" w:color="000000" w:fill="FFFFFF"/>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景顺长城量化对冲策略三个月定期开放灵活配置混合型发起式证券投资基金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83</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景顺长城泰申回报混合型证券投资基金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84</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景顺长城科技创新混合型证券投资基金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85</w:t>
            </w:r>
          </w:p>
        </w:tc>
        <w:tc>
          <w:tcPr>
            <w:tcW w:w="8227" w:type="dxa"/>
            <w:shd w:val="clear" w:color="000000" w:fill="FFFFFF"/>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景顺长城价值领航两年持有期混合型证券投资基金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86</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景顺长城景泰裕利纯债债券型证券投资基金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87</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景顺长城核心优选一年持有期混合型证券投资基金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88</w:t>
            </w:r>
          </w:p>
        </w:tc>
        <w:tc>
          <w:tcPr>
            <w:tcW w:w="8227" w:type="dxa"/>
            <w:shd w:val="clear" w:color="000000" w:fill="FFFFFF"/>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景顺长城中证红利低波动100交易型开放式指数证券投资基金（ETF）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89</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景顺长城创业板综指增强型证券投资基金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90</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景顺长城成长领航混合型证券投资基金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91</w:t>
            </w:r>
          </w:p>
        </w:tc>
        <w:tc>
          <w:tcPr>
            <w:tcW w:w="8227" w:type="dxa"/>
            <w:shd w:val="clear" w:color="000000" w:fill="FFFFFF"/>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景顺长城景颐嘉利6个月持有期债券型证券投资基金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92</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景顺长城中债1-3年国开行债券指数证券投资基金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93</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景顺长城科技创新三年定期开放灵活配置混合型证券投资基金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94</w:t>
            </w:r>
          </w:p>
        </w:tc>
        <w:tc>
          <w:tcPr>
            <w:tcW w:w="8227" w:type="dxa"/>
            <w:shd w:val="clear" w:color="000000" w:fill="FFFFFF"/>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景顺长城安鑫回报一年持有期混合型证券投资基金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95</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景顺长城弘远66个月定期开放债券型证券投资基金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96</w:t>
            </w:r>
          </w:p>
        </w:tc>
        <w:tc>
          <w:tcPr>
            <w:tcW w:w="8227" w:type="dxa"/>
            <w:shd w:val="clear" w:color="000000" w:fill="FFFFFF"/>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景顺长城价值稳进三年定期开放灵活配置混合型证券投资基金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97</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景顺长城竞争优势混合型证券投资基金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景顺长城景泰添利一年定期开放债券型发起式证券投资基金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99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景顺长城价值边际灵活配置混合型证券投资基金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景顺长城电子信息产业股票型证券投资基金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景顺长城消费精选混合型证券投资基金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景顺长城景颐招利6个月持有期债券型证券投资基金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景顺长城顺鑫回报混合型证券投资基金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104</w:t>
            </w:r>
          </w:p>
        </w:tc>
        <w:tc>
          <w:tcPr>
            <w:tcW w:w="8227" w:type="dxa"/>
            <w:shd w:val="clear" w:color="auto" w:fill="auto"/>
            <w:noWrap/>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景顺长城景泰宝利一年定期开放纯债债券型发起式证券投资基金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105</w:t>
            </w:r>
          </w:p>
        </w:tc>
        <w:tc>
          <w:tcPr>
            <w:tcW w:w="8227" w:type="dxa"/>
            <w:shd w:val="clear" w:color="auto" w:fill="auto"/>
            <w:noWrap/>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景顺长城量化成长演化混合型证券投资基金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106</w:t>
            </w:r>
          </w:p>
        </w:tc>
        <w:tc>
          <w:tcPr>
            <w:tcW w:w="8227" w:type="dxa"/>
            <w:shd w:val="clear" w:color="auto" w:fill="auto"/>
            <w:noWrap/>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景顺长城泰祥回报混合型证券投资基金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107</w:t>
            </w:r>
          </w:p>
        </w:tc>
        <w:tc>
          <w:tcPr>
            <w:tcW w:w="8227" w:type="dxa"/>
            <w:shd w:val="clear" w:color="auto" w:fill="auto"/>
            <w:noWrap/>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景顺长城核心中景一年持有期混合型证券投资基金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108</w:t>
            </w:r>
          </w:p>
        </w:tc>
        <w:tc>
          <w:tcPr>
            <w:tcW w:w="8227" w:type="dxa"/>
            <w:shd w:val="clear" w:color="auto" w:fill="auto"/>
            <w:noWrap/>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景顺长城泰保三个月定期开放混合型发起式证券投资基金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109</w:t>
            </w:r>
          </w:p>
        </w:tc>
        <w:tc>
          <w:tcPr>
            <w:tcW w:w="8227" w:type="dxa"/>
            <w:shd w:val="clear" w:color="auto" w:fill="auto"/>
            <w:noWrap/>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景顺长城核心招景混合型证券投资基金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110</w:t>
            </w:r>
          </w:p>
        </w:tc>
        <w:tc>
          <w:tcPr>
            <w:tcW w:w="8227" w:type="dxa"/>
            <w:shd w:val="clear" w:color="auto" w:fill="auto"/>
            <w:noWrap/>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景顺长城景泰恒利一年定期开放纯债债券型发起式证券投资基金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111</w:t>
            </w:r>
          </w:p>
        </w:tc>
        <w:tc>
          <w:tcPr>
            <w:tcW w:w="8227" w:type="dxa"/>
            <w:shd w:val="clear" w:color="auto" w:fill="auto"/>
            <w:noWrap/>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景顺长城产业趋势混合型证券投资基金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112</w:t>
            </w:r>
          </w:p>
        </w:tc>
        <w:tc>
          <w:tcPr>
            <w:tcW w:w="8227" w:type="dxa"/>
            <w:shd w:val="clear" w:color="auto" w:fill="auto"/>
            <w:noWrap/>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景顺长城景泰益利纯债债券型证券投资基金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景顺长城成长龙头一年持有期混合型证券投资基金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景顺长城品质长青混合型证券投资基金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景顺长城新能源产业股票型证券投资基金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景顺长城安泽回报一年持有期混合型证券投资基金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景顺长城景骊成长混合型证券投资基金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景顺长城安盈回报一年持有期混合型证券投资基金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119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景顺长城景气成长混合型证券投资基金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景顺长城安益回报一年持有期混合型证券投资基金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景顺长城中证港股通科技交易型开放式指数证券投资基金（ETF）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景顺长城颐心养老目标日期2040三年持有期混合型发起式基金中基金（FOF）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景顺长城价值驱动一年持有期灵活配置混合型证券投资基金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景顺长城国证新能源车电池交易型开放式指数证券投资基金（ETF）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景顺长城泰阳回报混合型证券投资基金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景顺长城融景产业机遇一年持有期混合型证券投资基金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景顺长城顺安回报混合型证券投资基金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景顺长城港股通全球竞争力混合型证券投资基金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129</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景顺长城医疗健康混合型证券投资基金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130</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景顺长城景泰优利一年定期开放纯债债券型发起式证券投资基金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景顺长城先进智造混合型证券投资基金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132</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景顺长城景颐惠利一年持有期债券型证券投资基金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133</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景顺长城中证消费电子主题交易型开放式指数证券投资基金（ETF）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景顺长城景气进取混合型证券投资基金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景顺长城专精特新量化优选股票型证券投资基金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136</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景顺长城景泰鼎利一年定期开放纯债债券型证券投资基金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景顺长城宁景6个月持有期混合型证券投资基金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138</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景顺长城安鼎一年持有期混合型证券投资基金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139</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景顺长城中证500增强策略交易型开放式指数证券投资基金（ETF）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140</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景顺长城安景一年持有期混合型证券投资基金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141</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景顺长城远见成长混合型证券投资基金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142</w:t>
            </w:r>
          </w:p>
        </w:tc>
        <w:tc>
          <w:tcPr>
            <w:tcW w:w="8227" w:type="dxa"/>
            <w:shd w:val="clear" w:color="auto" w:fill="auto"/>
            <w:vAlign w:val="center"/>
            <w:hideMark/>
          </w:tcPr>
          <w:p w:rsidR="007C0643" w:rsidRPr="00F06A78" w:rsidRDefault="007C0643" w:rsidP="006E54D4">
            <w:pPr>
              <w:widowControl/>
              <w:jc w:val="left"/>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景顺长城养老目标日期2035三年持有期混合型发起式基金中基金（FOF）</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143</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景顺长城华城稳健6个月持有期混合型证券投资基金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144</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景顺长城景泰悦利三个月定期开放纯债债券型证券投资基金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145</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景顺长城研究驱动三年持有期混合型证券投资基金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146</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景顺长城30天滚动持有短债债券型证券投资基金</w:t>
            </w:r>
          </w:p>
        </w:tc>
      </w:tr>
      <w:tr w:rsidR="007C0643" w:rsidRPr="00F06A78" w:rsidTr="007C0643">
        <w:trPr>
          <w:trHeight w:val="285"/>
          <w:jc w:val="center"/>
        </w:trPr>
        <w:tc>
          <w:tcPr>
            <w:tcW w:w="840"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147</w:t>
            </w:r>
          </w:p>
        </w:tc>
        <w:tc>
          <w:tcPr>
            <w:tcW w:w="8227" w:type="dxa"/>
            <w:shd w:val="clear" w:color="auto" w:fill="auto"/>
            <w:vAlign w:val="center"/>
            <w:hideMark/>
          </w:tcPr>
          <w:p w:rsidR="007C0643" w:rsidRPr="00F06A78" w:rsidRDefault="007C0643" w:rsidP="006E54D4">
            <w:pPr>
              <w:widowControl/>
              <w:rPr>
                <w:rFonts w:ascii="仿宋" w:eastAsia="仿宋" w:hAnsi="仿宋" w:cs="宋体"/>
                <w:color w:val="000000"/>
                <w:kern w:val="0"/>
                <w:sz w:val="24"/>
                <w:szCs w:val="24"/>
              </w:rPr>
            </w:pPr>
            <w:r w:rsidRPr="00F06A78">
              <w:rPr>
                <w:rFonts w:ascii="仿宋" w:eastAsia="仿宋" w:hAnsi="仿宋" w:cs="宋体" w:hint="eastAsia"/>
                <w:color w:val="000000"/>
                <w:kern w:val="0"/>
                <w:sz w:val="24"/>
                <w:szCs w:val="24"/>
              </w:rPr>
              <w:t>景顺长城中证1000指数增强型证券投资基金</w:t>
            </w:r>
          </w:p>
        </w:tc>
      </w:tr>
    </w:tbl>
    <w:p w:rsidR="00AE296E" w:rsidRPr="007C0643" w:rsidRDefault="00AE296E"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bookmarkStart w:id="0" w:name="_GoBack"/>
      <w:bookmarkEnd w:id="0"/>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2B2DC3" w:rsidRPr="00CE2486">
        <w:rPr>
          <w:rFonts w:ascii="仿宋" w:eastAsia="仿宋" w:hAnsi="仿宋" w:hint="eastAsia"/>
          <w:color w:val="000000" w:themeColor="text1"/>
          <w:sz w:val="32"/>
          <w:szCs w:val="32"/>
        </w:rPr>
        <w:t>202</w:t>
      </w:r>
      <w:r w:rsidR="007C0643">
        <w:rPr>
          <w:rFonts w:ascii="仿宋" w:eastAsia="仿宋" w:hAnsi="仿宋"/>
          <w:color w:val="000000" w:themeColor="text1"/>
          <w:sz w:val="32"/>
          <w:szCs w:val="32"/>
        </w:rPr>
        <w:t>2</w:t>
      </w:r>
      <w:r w:rsidR="002B2DC3" w:rsidRPr="00CE2486">
        <w:rPr>
          <w:rFonts w:ascii="仿宋" w:eastAsia="仿宋" w:hAnsi="仿宋" w:hint="eastAsia"/>
          <w:color w:val="000000" w:themeColor="text1"/>
          <w:sz w:val="32"/>
          <w:szCs w:val="32"/>
        </w:rPr>
        <w:t>年</w:t>
      </w:r>
      <w:r w:rsidR="00007363">
        <w:rPr>
          <w:rFonts w:ascii="仿宋" w:eastAsia="仿宋" w:hAnsi="仿宋"/>
          <w:color w:val="000000" w:themeColor="text1"/>
          <w:sz w:val="32"/>
          <w:szCs w:val="32"/>
        </w:rPr>
        <w:t>8</w:t>
      </w:r>
      <w:r w:rsidR="00CE2486" w:rsidRPr="00CE2486">
        <w:rPr>
          <w:rFonts w:ascii="仿宋" w:eastAsia="仿宋" w:hAnsi="仿宋" w:hint="eastAsia"/>
          <w:color w:val="000000" w:themeColor="text1"/>
          <w:sz w:val="32"/>
          <w:szCs w:val="32"/>
        </w:rPr>
        <w:t>月</w:t>
      </w:r>
      <w:r w:rsidR="007C0643">
        <w:rPr>
          <w:rFonts w:ascii="仿宋" w:eastAsia="仿宋" w:hAnsi="仿宋"/>
          <w:color w:val="000000" w:themeColor="text1"/>
          <w:sz w:val="32"/>
          <w:szCs w:val="32"/>
        </w:rPr>
        <w:t>31</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30991">
        <w:pPr>
          <w:pStyle w:val="a4"/>
          <w:jc w:val="center"/>
        </w:pPr>
        <w:r>
          <w:fldChar w:fldCharType="begin"/>
        </w:r>
        <w:r w:rsidR="00084E7D">
          <w:instrText>PAGE   \* MERGEFORMAT</w:instrText>
        </w:r>
        <w:r>
          <w:fldChar w:fldCharType="separate"/>
        </w:r>
        <w:r w:rsidR="00D122E7" w:rsidRPr="00D122E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30991">
        <w:pPr>
          <w:pStyle w:val="a4"/>
          <w:jc w:val="center"/>
        </w:pPr>
        <w:r>
          <w:fldChar w:fldCharType="begin"/>
        </w:r>
        <w:r w:rsidR="00084E7D">
          <w:instrText>PAGE   \* MERGEFORMAT</w:instrText>
        </w:r>
        <w:r>
          <w:fldChar w:fldCharType="separate"/>
        </w:r>
        <w:r w:rsidR="00D122E7" w:rsidRPr="00D122E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7363"/>
    <w:rsid w:val="00010044"/>
    <w:rsid w:val="00022ABD"/>
    <w:rsid w:val="00025D40"/>
    <w:rsid w:val="000300E5"/>
    <w:rsid w:val="00030991"/>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2DC3"/>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D73DB"/>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64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61B4"/>
    <w:rsid w:val="00A87DCB"/>
    <w:rsid w:val="00AB49A1"/>
    <w:rsid w:val="00AC1161"/>
    <w:rsid w:val="00AD18DD"/>
    <w:rsid w:val="00AD562B"/>
    <w:rsid w:val="00AE296E"/>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122E7"/>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247378449">
      <w:bodyDiv w:val="1"/>
      <w:marLeft w:val="0"/>
      <w:marRight w:val="0"/>
      <w:marTop w:val="0"/>
      <w:marBottom w:val="0"/>
      <w:divBdr>
        <w:top w:val="none" w:sz="0" w:space="0" w:color="auto"/>
        <w:left w:val="none" w:sz="0" w:space="0" w:color="auto"/>
        <w:bottom w:val="none" w:sz="0" w:space="0" w:color="auto"/>
        <w:right w:val="none" w:sz="0" w:space="0" w:color="auto"/>
      </w:divBdr>
    </w:div>
    <w:div w:id="17426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DEE6-09D2-4527-AEF5-02EA29C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4</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2022-08-30T16:03:00Z</dcterms:created>
  <dcterms:modified xsi:type="dcterms:W3CDTF">2022-08-30T16:03:00Z</dcterms:modified>
</cp:coreProperties>
</file>