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4" w:rsidRDefault="00BB7020" w:rsidP="00245C66">
      <w:pPr>
        <w:jc w:val="center"/>
        <w:rPr>
          <w:rFonts w:ascii="仿宋" w:eastAsia="仿宋" w:hAnsi="仿宋"/>
          <w:b/>
          <w:sz w:val="32"/>
          <w:szCs w:val="32"/>
        </w:rPr>
      </w:pPr>
      <w:r w:rsidRPr="00245C66">
        <w:rPr>
          <w:rFonts w:ascii="仿宋" w:eastAsia="仿宋" w:hAnsi="仿宋" w:hint="eastAsia"/>
          <w:b/>
          <w:sz w:val="32"/>
          <w:szCs w:val="32"/>
        </w:rPr>
        <w:t>建信基金管理有限责任公司旗下</w:t>
      </w:r>
      <w:r w:rsidR="000B50B3">
        <w:rPr>
          <w:rFonts w:ascii="仿宋" w:eastAsia="仿宋" w:hAnsi="仿宋" w:hint="eastAsia"/>
          <w:b/>
          <w:sz w:val="32"/>
          <w:szCs w:val="32"/>
        </w:rPr>
        <w:t>1</w:t>
      </w:r>
      <w:r w:rsidR="00C51FC0">
        <w:rPr>
          <w:rFonts w:ascii="仿宋" w:eastAsia="仿宋" w:hAnsi="仿宋" w:hint="eastAsia"/>
          <w:b/>
          <w:sz w:val="32"/>
          <w:szCs w:val="32"/>
        </w:rPr>
        <w:t>49</w:t>
      </w:r>
      <w:r w:rsidR="00670DF4">
        <w:rPr>
          <w:rFonts w:ascii="仿宋" w:eastAsia="仿宋" w:hAnsi="仿宋" w:hint="eastAsia"/>
          <w:b/>
          <w:sz w:val="32"/>
          <w:szCs w:val="32"/>
        </w:rPr>
        <w:t>只</w:t>
      </w:r>
      <w:r w:rsidRPr="00245C66">
        <w:rPr>
          <w:rFonts w:ascii="仿宋" w:eastAsia="仿宋" w:hAnsi="仿宋" w:hint="eastAsia"/>
          <w:b/>
          <w:sz w:val="32"/>
          <w:szCs w:val="32"/>
        </w:rPr>
        <w:t>基金</w:t>
      </w:r>
    </w:p>
    <w:p w:rsidR="00B91055" w:rsidRPr="00245C66" w:rsidRDefault="00BB7020" w:rsidP="00245C66">
      <w:pPr>
        <w:jc w:val="center"/>
        <w:rPr>
          <w:rFonts w:ascii="仿宋" w:eastAsia="仿宋" w:hAnsi="仿宋"/>
          <w:b/>
          <w:sz w:val="32"/>
          <w:szCs w:val="32"/>
        </w:rPr>
      </w:pPr>
      <w:r w:rsidRPr="00245C66">
        <w:rPr>
          <w:rFonts w:ascii="仿宋" w:eastAsia="仿宋" w:hAnsi="仿宋" w:hint="eastAsia"/>
          <w:b/>
          <w:sz w:val="32"/>
          <w:szCs w:val="32"/>
        </w:rPr>
        <w:t>20</w:t>
      </w:r>
      <w:r w:rsidR="000B50B3">
        <w:rPr>
          <w:rFonts w:ascii="仿宋" w:eastAsia="仿宋" w:hAnsi="仿宋" w:hint="eastAsia"/>
          <w:b/>
          <w:sz w:val="32"/>
          <w:szCs w:val="32"/>
        </w:rPr>
        <w:t>2</w:t>
      </w:r>
      <w:r w:rsidR="00C51FC0">
        <w:rPr>
          <w:rFonts w:ascii="仿宋" w:eastAsia="仿宋" w:hAnsi="仿宋" w:hint="eastAsia"/>
          <w:b/>
          <w:sz w:val="32"/>
          <w:szCs w:val="32"/>
        </w:rPr>
        <w:t>2</w:t>
      </w:r>
      <w:r w:rsidRPr="00245C66">
        <w:rPr>
          <w:rFonts w:ascii="仿宋" w:eastAsia="仿宋" w:hAnsi="仿宋" w:hint="eastAsia"/>
          <w:b/>
          <w:sz w:val="32"/>
          <w:szCs w:val="32"/>
        </w:rPr>
        <w:t>年</w:t>
      </w:r>
      <w:r w:rsidR="005A63E6">
        <w:rPr>
          <w:rFonts w:ascii="仿宋" w:eastAsia="仿宋" w:hAnsi="仿宋" w:hint="eastAsia"/>
          <w:b/>
          <w:sz w:val="32"/>
          <w:szCs w:val="32"/>
        </w:rPr>
        <w:t>中期</w:t>
      </w:r>
      <w:r w:rsidRPr="00245C66">
        <w:rPr>
          <w:rFonts w:ascii="仿宋" w:eastAsia="仿宋" w:hAnsi="仿宋" w:hint="eastAsia"/>
          <w:b/>
          <w:sz w:val="32"/>
          <w:szCs w:val="32"/>
        </w:rPr>
        <w:t>报告提示性公告</w:t>
      </w:r>
    </w:p>
    <w:p w:rsidR="00BB7020" w:rsidRDefault="00BB7020"/>
    <w:p w:rsidR="00BB7020" w:rsidRPr="00245C66" w:rsidRDefault="00EB5921" w:rsidP="00245C66">
      <w:pPr>
        <w:ind w:firstLineChars="200" w:firstLine="640"/>
        <w:rPr>
          <w:rFonts w:ascii="仿宋" w:eastAsia="仿宋" w:hAnsi="仿宋"/>
          <w:color w:val="000000" w:themeColor="text1"/>
          <w:sz w:val="32"/>
          <w:szCs w:val="32"/>
        </w:rPr>
      </w:pPr>
      <w:r w:rsidRPr="00245C66">
        <w:rPr>
          <w:rFonts w:ascii="仿宋" w:eastAsia="仿宋" w:hAnsi="仿宋" w:hint="eastAsia"/>
          <w:color w:val="000000" w:themeColor="text1"/>
          <w:sz w:val="32"/>
          <w:szCs w:val="32"/>
        </w:rPr>
        <w:t>建信基金管理有限责任</w:t>
      </w:r>
      <w:r w:rsidR="00BB7020" w:rsidRPr="00245C66">
        <w:rPr>
          <w:rFonts w:ascii="仿宋" w:eastAsia="仿宋" w:hAnsi="仿宋" w:hint="eastAsia"/>
          <w:color w:val="000000" w:themeColor="text1"/>
          <w:sz w:val="32"/>
          <w:szCs w:val="32"/>
        </w:rPr>
        <w:t>公司董事会及董事保证</w:t>
      </w:r>
      <w:r w:rsidR="00CD75CB">
        <w:rPr>
          <w:rFonts w:ascii="仿宋" w:eastAsia="仿宋" w:hAnsi="仿宋" w:hint="eastAsia"/>
          <w:color w:val="000000" w:themeColor="text1"/>
          <w:sz w:val="32"/>
          <w:szCs w:val="32"/>
        </w:rPr>
        <w:t>本</w:t>
      </w:r>
      <w:r w:rsidR="00670DF4">
        <w:rPr>
          <w:rFonts w:ascii="仿宋" w:eastAsia="仿宋" w:hAnsi="仿宋" w:hint="eastAsia"/>
          <w:color w:val="000000" w:themeColor="text1"/>
          <w:sz w:val="32"/>
          <w:szCs w:val="32"/>
        </w:rPr>
        <w:t>公司旗下1</w:t>
      </w:r>
      <w:r w:rsidR="00C51FC0">
        <w:rPr>
          <w:rFonts w:ascii="仿宋" w:eastAsia="仿宋" w:hAnsi="仿宋" w:hint="eastAsia"/>
          <w:color w:val="000000" w:themeColor="text1"/>
          <w:sz w:val="32"/>
          <w:szCs w:val="32"/>
        </w:rPr>
        <w:t>49</w:t>
      </w:r>
      <w:r w:rsidR="00670DF4">
        <w:rPr>
          <w:rFonts w:ascii="仿宋" w:eastAsia="仿宋" w:hAnsi="仿宋" w:hint="eastAsia"/>
          <w:color w:val="000000" w:themeColor="text1"/>
          <w:sz w:val="32"/>
          <w:szCs w:val="32"/>
        </w:rPr>
        <w:t>只</w:t>
      </w:r>
      <w:r w:rsidR="00BB7020" w:rsidRPr="00245C66">
        <w:rPr>
          <w:rFonts w:ascii="仿宋" w:eastAsia="仿宋" w:hAnsi="仿宋" w:hint="eastAsia"/>
          <w:color w:val="000000" w:themeColor="text1"/>
          <w:sz w:val="32"/>
          <w:szCs w:val="32"/>
        </w:rPr>
        <w:t>基金20</w:t>
      </w:r>
      <w:r w:rsidR="000B50B3">
        <w:rPr>
          <w:rFonts w:ascii="仿宋" w:eastAsia="仿宋" w:hAnsi="仿宋" w:hint="eastAsia"/>
          <w:color w:val="000000" w:themeColor="text1"/>
          <w:sz w:val="32"/>
          <w:szCs w:val="32"/>
        </w:rPr>
        <w:t>2</w:t>
      </w:r>
      <w:r w:rsidR="00C51FC0">
        <w:rPr>
          <w:rFonts w:ascii="仿宋" w:eastAsia="仿宋" w:hAnsi="仿宋" w:hint="eastAsia"/>
          <w:color w:val="000000" w:themeColor="text1"/>
          <w:sz w:val="32"/>
          <w:szCs w:val="32"/>
        </w:rPr>
        <w:t>2</w:t>
      </w:r>
      <w:r w:rsidR="00BB7020" w:rsidRPr="00245C66">
        <w:rPr>
          <w:rFonts w:ascii="仿宋" w:eastAsia="仿宋" w:hAnsi="仿宋" w:hint="eastAsia"/>
          <w:color w:val="000000" w:themeColor="text1"/>
          <w:sz w:val="32"/>
          <w:szCs w:val="32"/>
        </w:rPr>
        <w:t>年</w:t>
      </w:r>
      <w:r w:rsidR="005A63E6">
        <w:rPr>
          <w:rFonts w:ascii="仿宋" w:eastAsia="仿宋" w:hAnsi="仿宋" w:hint="eastAsia"/>
          <w:color w:val="000000" w:themeColor="text1"/>
          <w:sz w:val="32"/>
          <w:szCs w:val="32"/>
        </w:rPr>
        <w:t>中期</w:t>
      </w:r>
      <w:r w:rsidR="00BB7020" w:rsidRPr="00245C66">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BC7E37" w:rsidRDefault="00CD75CB" w:rsidP="00BC7E3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w:t>
      </w:r>
      <w:r w:rsidR="007518D8" w:rsidRPr="00245C66">
        <w:rPr>
          <w:rFonts w:ascii="仿宋" w:eastAsia="仿宋" w:hAnsi="仿宋" w:hint="eastAsia"/>
          <w:color w:val="000000" w:themeColor="text1"/>
          <w:sz w:val="32"/>
          <w:szCs w:val="32"/>
        </w:rPr>
        <w:t>公司旗下</w:t>
      </w:r>
      <w:r w:rsidR="00C51FC0">
        <w:rPr>
          <w:rFonts w:ascii="仿宋" w:eastAsia="仿宋" w:hAnsi="仿宋" w:hint="eastAsia"/>
          <w:color w:val="000000" w:themeColor="text1"/>
          <w:sz w:val="32"/>
          <w:szCs w:val="32"/>
        </w:rPr>
        <w:t>149</w:t>
      </w:r>
      <w:r w:rsidR="00670DF4" w:rsidRPr="00245C66">
        <w:rPr>
          <w:rFonts w:ascii="仿宋" w:eastAsia="仿宋" w:hAnsi="仿宋" w:hint="eastAsia"/>
          <w:color w:val="000000" w:themeColor="text1"/>
          <w:sz w:val="32"/>
          <w:szCs w:val="32"/>
        </w:rPr>
        <w:t>只基金的</w:t>
      </w:r>
      <w:r w:rsidR="00C51FC0" w:rsidRPr="00245C66">
        <w:rPr>
          <w:rFonts w:ascii="仿宋" w:eastAsia="仿宋" w:hAnsi="仿宋" w:hint="eastAsia"/>
          <w:color w:val="000000" w:themeColor="text1"/>
          <w:sz w:val="32"/>
          <w:szCs w:val="32"/>
        </w:rPr>
        <w:t>20</w:t>
      </w:r>
      <w:r w:rsidR="00C51FC0">
        <w:rPr>
          <w:rFonts w:ascii="仿宋" w:eastAsia="仿宋" w:hAnsi="仿宋" w:hint="eastAsia"/>
          <w:color w:val="000000" w:themeColor="text1"/>
          <w:sz w:val="32"/>
          <w:szCs w:val="32"/>
        </w:rPr>
        <w:t>22</w:t>
      </w:r>
      <w:r w:rsidR="00670DF4" w:rsidRPr="00245C66">
        <w:rPr>
          <w:rFonts w:ascii="仿宋" w:eastAsia="仿宋" w:hAnsi="仿宋" w:hint="eastAsia"/>
          <w:color w:val="000000" w:themeColor="text1"/>
          <w:sz w:val="32"/>
          <w:szCs w:val="32"/>
        </w:rPr>
        <w:t>年</w:t>
      </w:r>
      <w:r w:rsidR="005A63E6">
        <w:rPr>
          <w:rFonts w:ascii="仿宋" w:eastAsia="仿宋" w:hAnsi="仿宋" w:hint="eastAsia"/>
          <w:color w:val="000000" w:themeColor="text1"/>
          <w:sz w:val="32"/>
          <w:szCs w:val="32"/>
        </w:rPr>
        <w:t>中期</w:t>
      </w:r>
      <w:r w:rsidR="00670DF4" w:rsidRPr="00245C66">
        <w:rPr>
          <w:rFonts w:ascii="仿宋" w:eastAsia="仿宋" w:hAnsi="仿宋" w:hint="eastAsia"/>
          <w:color w:val="000000" w:themeColor="text1"/>
          <w:sz w:val="32"/>
          <w:szCs w:val="32"/>
        </w:rPr>
        <w:t>报告全文于</w:t>
      </w:r>
      <w:r w:rsidR="00C51FC0" w:rsidRPr="00245C66">
        <w:rPr>
          <w:rFonts w:ascii="仿宋" w:eastAsia="仿宋" w:hAnsi="仿宋" w:hint="eastAsia"/>
          <w:color w:val="000000" w:themeColor="text1"/>
          <w:sz w:val="32"/>
          <w:szCs w:val="32"/>
        </w:rPr>
        <w:t>20</w:t>
      </w:r>
      <w:r w:rsidR="00C51FC0">
        <w:rPr>
          <w:rFonts w:ascii="仿宋" w:eastAsia="仿宋" w:hAnsi="仿宋" w:hint="eastAsia"/>
          <w:color w:val="000000" w:themeColor="text1"/>
          <w:sz w:val="32"/>
          <w:szCs w:val="32"/>
        </w:rPr>
        <w:t>22</w:t>
      </w:r>
      <w:r w:rsidR="00670DF4" w:rsidRPr="000C2CC8">
        <w:rPr>
          <w:rFonts w:ascii="仿宋" w:eastAsia="仿宋" w:hAnsi="仿宋" w:hint="eastAsia"/>
          <w:color w:val="000000" w:themeColor="text1"/>
          <w:sz w:val="32"/>
          <w:szCs w:val="32"/>
        </w:rPr>
        <w:t>年</w:t>
      </w:r>
      <w:r w:rsidR="005A63E6" w:rsidRPr="000C2CC8">
        <w:rPr>
          <w:rFonts w:ascii="仿宋" w:eastAsia="仿宋" w:hAnsi="仿宋" w:hint="eastAsia"/>
          <w:color w:val="000000" w:themeColor="text1"/>
          <w:sz w:val="32"/>
          <w:szCs w:val="32"/>
        </w:rPr>
        <w:t>8</w:t>
      </w:r>
      <w:r w:rsidR="00670DF4" w:rsidRPr="000C2CC8">
        <w:rPr>
          <w:rFonts w:ascii="仿宋" w:eastAsia="仿宋" w:hAnsi="仿宋" w:hint="eastAsia"/>
          <w:color w:val="000000" w:themeColor="text1"/>
          <w:sz w:val="32"/>
          <w:szCs w:val="32"/>
        </w:rPr>
        <w:t>月</w:t>
      </w:r>
      <w:r w:rsidR="00402F94">
        <w:rPr>
          <w:rFonts w:ascii="仿宋" w:eastAsia="仿宋" w:hAnsi="仿宋" w:hint="eastAsia"/>
          <w:color w:val="000000" w:themeColor="text1"/>
          <w:sz w:val="32"/>
          <w:szCs w:val="32"/>
        </w:rPr>
        <w:t>30</w:t>
      </w:r>
      <w:r w:rsidR="00670DF4" w:rsidRPr="000C2CC8">
        <w:rPr>
          <w:rFonts w:ascii="仿宋" w:eastAsia="仿宋" w:hAnsi="仿宋" w:hint="eastAsia"/>
          <w:color w:val="000000" w:themeColor="text1"/>
          <w:sz w:val="32"/>
          <w:szCs w:val="32"/>
        </w:rPr>
        <w:t>日在本</w:t>
      </w:r>
      <w:r w:rsidR="00670DF4" w:rsidRPr="00245C66">
        <w:rPr>
          <w:rFonts w:ascii="仿宋" w:eastAsia="仿宋" w:hAnsi="仿宋" w:hint="eastAsia"/>
          <w:color w:val="000000" w:themeColor="text1"/>
          <w:sz w:val="32"/>
          <w:szCs w:val="32"/>
        </w:rPr>
        <w:t>公司网站</w:t>
      </w:r>
      <w:r w:rsidR="00EB5921">
        <w:rPr>
          <w:rFonts w:ascii="仿宋" w:eastAsia="仿宋" w:hAnsi="仿宋" w:hint="eastAsia"/>
          <w:color w:val="000000" w:themeColor="text1"/>
          <w:sz w:val="32"/>
          <w:szCs w:val="32"/>
        </w:rPr>
        <w:t>[www.ccbfund.cn</w:t>
      </w:r>
      <w:r w:rsidR="00670DF4">
        <w:rPr>
          <w:rFonts w:ascii="仿宋" w:eastAsia="仿宋" w:hAnsi="仿宋" w:hint="eastAsia"/>
          <w:color w:val="000000" w:themeColor="text1"/>
          <w:sz w:val="32"/>
          <w:szCs w:val="32"/>
        </w:rPr>
        <w:t>]和中国证监会基金电子披露网站（</w:t>
      </w:r>
      <w:hyperlink r:id="rId7" w:history="1">
        <w:r w:rsidR="00670DF4">
          <w:rPr>
            <w:rStyle w:val="a3"/>
            <w:rFonts w:ascii="仿宋" w:eastAsia="仿宋" w:hAnsi="仿宋" w:hint="eastAsia"/>
            <w:sz w:val="32"/>
            <w:szCs w:val="32"/>
          </w:rPr>
          <w:t>http://eid.csrc.gov.cn/fund</w:t>
        </w:r>
      </w:hyperlink>
      <w:r w:rsidR="00670DF4">
        <w:rPr>
          <w:rFonts w:ascii="仿宋" w:eastAsia="仿宋" w:hAnsi="仿宋" w:hint="eastAsia"/>
          <w:color w:val="000000" w:themeColor="text1"/>
          <w:sz w:val="32"/>
          <w:szCs w:val="32"/>
        </w:rPr>
        <w:t>）披露，供投资者查阅。</w:t>
      </w:r>
      <w:r w:rsidR="00EB5921">
        <w:rPr>
          <w:rFonts w:ascii="仿宋" w:eastAsia="仿宋" w:hAnsi="仿宋" w:hint="eastAsia"/>
          <w:color w:val="000000" w:themeColor="text1"/>
          <w:sz w:val="32"/>
          <w:szCs w:val="32"/>
        </w:rPr>
        <w:t>具体基金明细如下：</w:t>
      </w:r>
    </w:p>
    <w:tbl>
      <w:tblPr>
        <w:tblW w:w="8429" w:type="dxa"/>
        <w:tblInd w:w="93" w:type="dxa"/>
        <w:tblLook w:val="04A0"/>
      </w:tblPr>
      <w:tblGrid>
        <w:gridCol w:w="1008"/>
        <w:gridCol w:w="7421"/>
      </w:tblGrid>
      <w:tr w:rsidR="00C51FC0" w:rsidTr="00BC7E37">
        <w:trPr>
          <w:trHeight w:val="288"/>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C51FC0" w:rsidRDefault="00C51FC0">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C51FC0" w:rsidTr="00BC7E37">
        <w:trPr>
          <w:trHeight w:val="288"/>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w:t>
            </w:r>
            <w:r>
              <w:rPr>
                <w:rFonts w:ascii="仿宋" w:eastAsia="仿宋" w:cs="仿宋"/>
                <w:color w:val="000000"/>
                <w:kern w:val="0"/>
                <w:sz w:val="22"/>
              </w:rPr>
              <w:t>MSCI</w:t>
            </w:r>
            <w:r>
              <w:rPr>
                <w:rFonts w:ascii="仿宋" w:eastAsia="仿宋" w:cs="仿宋" w:hint="eastAsia"/>
                <w:color w:val="000000"/>
                <w:kern w:val="0"/>
                <w:sz w:val="22"/>
              </w:rPr>
              <w:t>中国</w:t>
            </w:r>
            <w:r>
              <w:rPr>
                <w:rFonts w:ascii="仿宋" w:eastAsia="仿宋" w:cs="仿宋"/>
                <w:color w:val="000000"/>
                <w:kern w:val="0"/>
                <w:sz w:val="22"/>
              </w:rPr>
              <w:t>A</w:t>
            </w:r>
            <w:r>
              <w:rPr>
                <w:rFonts w:ascii="仿宋" w:eastAsia="仿宋" w:cs="仿宋" w:hint="eastAsia"/>
                <w:color w:val="000000"/>
                <w:kern w:val="0"/>
                <w:sz w:val="22"/>
              </w:rPr>
              <w:t>股国际通交易型开放式指数证券投资基金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w:t>
            </w:r>
            <w:r>
              <w:rPr>
                <w:rFonts w:ascii="仿宋" w:eastAsia="仿宋" w:cs="仿宋"/>
                <w:color w:val="000000"/>
                <w:kern w:val="0"/>
                <w:sz w:val="22"/>
              </w:rPr>
              <w:t>MSCI</w:t>
            </w:r>
            <w:r>
              <w:rPr>
                <w:rFonts w:ascii="仿宋" w:eastAsia="仿宋" w:cs="仿宋" w:hint="eastAsia"/>
                <w:color w:val="000000"/>
                <w:kern w:val="0"/>
                <w:sz w:val="22"/>
              </w:rPr>
              <w:t>中国</w:t>
            </w:r>
            <w:r>
              <w:rPr>
                <w:rFonts w:ascii="仿宋" w:eastAsia="仿宋" w:cs="仿宋"/>
                <w:color w:val="000000"/>
                <w:kern w:val="0"/>
                <w:sz w:val="22"/>
              </w:rPr>
              <w:t>A</w:t>
            </w:r>
            <w:r>
              <w:rPr>
                <w:rFonts w:ascii="仿宋" w:eastAsia="仿宋" w:cs="仿宋" w:hint="eastAsia"/>
                <w:color w:val="000000"/>
                <w:kern w:val="0"/>
                <w:sz w:val="22"/>
              </w:rPr>
              <w:t>股国际通交易型开放式指数证券投资基金发起式联接基金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w:t>
            </w:r>
            <w:r>
              <w:rPr>
                <w:rFonts w:ascii="仿宋" w:eastAsia="仿宋" w:cs="仿宋"/>
                <w:color w:val="000000"/>
                <w:kern w:val="0"/>
                <w:sz w:val="22"/>
              </w:rPr>
              <w:t>MSCI</w:t>
            </w:r>
            <w:r>
              <w:rPr>
                <w:rFonts w:ascii="仿宋" w:eastAsia="仿宋" w:cs="仿宋" w:hint="eastAsia"/>
                <w:color w:val="000000"/>
                <w:kern w:val="0"/>
                <w:sz w:val="22"/>
              </w:rPr>
              <w:t>中国</w:t>
            </w:r>
            <w:r>
              <w:rPr>
                <w:rFonts w:ascii="仿宋" w:eastAsia="仿宋" w:cs="仿宋"/>
                <w:color w:val="000000"/>
                <w:kern w:val="0"/>
                <w:sz w:val="22"/>
              </w:rPr>
              <w:t>A</w:t>
            </w:r>
            <w:r>
              <w:rPr>
                <w:rFonts w:ascii="仿宋" w:eastAsia="仿宋" w:cs="仿宋" w:hint="eastAsia"/>
                <w:color w:val="000000"/>
                <w:kern w:val="0"/>
                <w:sz w:val="22"/>
              </w:rPr>
              <w:t>股指数增强型证券投资基金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建信安心回报</w:t>
            </w:r>
            <w:r>
              <w:rPr>
                <w:rFonts w:ascii="仿宋" w:eastAsia="仿宋" w:cs="仿宋"/>
                <w:color w:val="000000"/>
                <w:kern w:val="0"/>
                <w:sz w:val="22"/>
              </w:rPr>
              <w:t>6</w:t>
            </w:r>
            <w:r>
              <w:rPr>
                <w:rFonts w:ascii="仿宋" w:eastAsia="仿宋" w:cs="仿宋" w:hint="eastAsia"/>
                <w:color w:val="000000"/>
                <w:kern w:val="0"/>
                <w:sz w:val="22"/>
              </w:rPr>
              <w:t>个月定期开放债券型证券投资基金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建信安心回报定期开放债券型证券投资基金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建信创新驱动混合型证券投资基金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建信创新中国混合型证券投资基金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建信创业板交易型开放式指数证券投资基金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建信创业板交易型开放式指数证券投资基金发起式联接基金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建信纯债债券型证券投资基金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lastRenderedPageBreak/>
              <w:t>11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建信大安全战略精选股票型证券投资基金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建信短债债券型证券投资基金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建信多因子量化股票型证券投资基金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建信丰裕多策略灵活配置混合型证券投资基金</w:t>
            </w:r>
            <w:r>
              <w:rPr>
                <w:rFonts w:ascii="仿宋" w:eastAsia="仿宋" w:cs="仿宋"/>
                <w:color w:val="000000"/>
                <w:kern w:val="0"/>
                <w:sz w:val="22"/>
              </w:rPr>
              <w:t>(LOF)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建信福泽安泰混合型基金中基金</w:t>
            </w:r>
            <w:r>
              <w:rPr>
                <w:rFonts w:ascii="仿宋" w:eastAsia="仿宋" w:cs="仿宋"/>
                <w:color w:val="000000"/>
                <w:kern w:val="0"/>
                <w:sz w:val="22"/>
              </w:rPr>
              <w:t>(FOF)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建信福泽裕泰混合型基金中基金</w:t>
            </w:r>
            <w:r>
              <w:rPr>
                <w:rFonts w:ascii="仿宋" w:eastAsia="仿宋" w:cs="仿宋"/>
                <w:color w:val="000000"/>
                <w:kern w:val="0"/>
                <w:sz w:val="22"/>
              </w:rPr>
              <w:t>(FOF)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建信富时</w:t>
            </w:r>
            <w:r>
              <w:rPr>
                <w:rFonts w:ascii="仿宋" w:eastAsia="仿宋" w:cs="仿宋"/>
                <w:color w:val="000000"/>
                <w:kern w:val="0"/>
                <w:sz w:val="22"/>
              </w:rPr>
              <w:t>100</w:t>
            </w:r>
            <w:r>
              <w:rPr>
                <w:rFonts w:ascii="仿宋" w:eastAsia="仿宋" w:cs="仿宋" w:hint="eastAsia"/>
                <w:color w:val="000000"/>
                <w:kern w:val="0"/>
                <w:sz w:val="22"/>
              </w:rPr>
              <w:t>指数型证券投资基金</w:t>
            </w:r>
            <w:r>
              <w:rPr>
                <w:rFonts w:ascii="仿宋" w:eastAsia="仿宋" w:cs="仿宋"/>
                <w:color w:val="000000"/>
                <w:kern w:val="0"/>
                <w:sz w:val="22"/>
              </w:rPr>
              <w:t>(QDII)</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建信改革红利股票型证券投资基金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建信港股通恒生中国企业交易型开放式指数证券投资基金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建信港股通精选混合型证券投资基金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建信高端医疗股票型证券投资基金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22</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建信高端装备股票型证券投资基金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建信高股息主题股票型证券投资基金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建信国证新能源车电池交易型开放式指数证券投资基金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建信核心精选混合型证券投资基金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建信恒久价值混合型证券投资基金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建信恒瑞债券型证券投资基金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建信恒稳价值混合型证券投资基金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29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建信弘利灵活配置混合型证券投资基金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建信泓利一年持有期债券型证券投资基金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31</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建信互联网</w:t>
            </w:r>
            <w:r>
              <w:rPr>
                <w:rFonts w:ascii="仿宋" w:eastAsia="仿宋" w:cs="仿宋"/>
                <w:color w:val="000000"/>
                <w:kern w:val="0"/>
                <w:sz w:val="22"/>
              </w:rPr>
              <w:t>+</w:t>
            </w:r>
            <w:r>
              <w:rPr>
                <w:rFonts w:ascii="仿宋" w:eastAsia="仿宋" w:cs="仿宋" w:hint="eastAsia"/>
                <w:color w:val="000000"/>
                <w:kern w:val="0"/>
                <w:sz w:val="22"/>
              </w:rPr>
              <w:t>产业升级股票型证券投资基金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32</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建信沪深</w:t>
            </w:r>
            <w:r>
              <w:rPr>
                <w:rFonts w:ascii="仿宋" w:eastAsia="仿宋" w:cs="仿宋"/>
                <w:color w:val="000000"/>
                <w:kern w:val="0"/>
                <w:sz w:val="22"/>
              </w:rPr>
              <w:t>300</w:t>
            </w:r>
            <w:r>
              <w:rPr>
                <w:rFonts w:ascii="仿宋" w:eastAsia="仿宋" w:cs="仿宋" w:hint="eastAsia"/>
                <w:color w:val="000000"/>
                <w:kern w:val="0"/>
                <w:sz w:val="22"/>
              </w:rPr>
              <w:t>红利交易型开放式指数证券投资基金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lastRenderedPageBreak/>
              <w:t>33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建信沪深</w:t>
            </w:r>
            <w:r>
              <w:rPr>
                <w:rFonts w:ascii="仿宋" w:eastAsia="仿宋" w:cs="仿宋"/>
                <w:color w:val="000000"/>
                <w:kern w:val="0"/>
                <w:sz w:val="22"/>
              </w:rPr>
              <w:t>300</w:t>
            </w:r>
            <w:r>
              <w:rPr>
                <w:rFonts w:ascii="仿宋" w:eastAsia="仿宋" w:cs="仿宋" w:hint="eastAsia"/>
                <w:color w:val="000000"/>
                <w:kern w:val="0"/>
                <w:sz w:val="22"/>
              </w:rPr>
              <w:t>红利交易型开放式指数证券投资基金发起式联接基金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建信沪深</w:t>
            </w:r>
            <w:r>
              <w:rPr>
                <w:rFonts w:ascii="仿宋" w:eastAsia="仿宋" w:cs="仿宋"/>
                <w:color w:val="000000"/>
                <w:kern w:val="0"/>
                <w:sz w:val="22"/>
              </w:rPr>
              <w:t>300</w:t>
            </w:r>
            <w:r>
              <w:rPr>
                <w:rFonts w:ascii="仿宋" w:eastAsia="仿宋" w:cs="仿宋" w:hint="eastAsia"/>
                <w:color w:val="000000"/>
                <w:kern w:val="0"/>
                <w:sz w:val="22"/>
              </w:rPr>
              <w:t>指数增强型证券投资基金</w:t>
            </w:r>
            <w:r>
              <w:rPr>
                <w:rFonts w:ascii="仿宋" w:eastAsia="仿宋" w:cs="仿宋"/>
                <w:color w:val="000000"/>
                <w:kern w:val="0"/>
                <w:sz w:val="22"/>
              </w:rPr>
              <w:t>(LOF)</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建信沪深</w:t>
            </w:r>
            <w:r>
              <w:rPr>
                <w:rFonts w:ascii="仿宋" w:eastAsia="仿宋" w:cs="仿宋"/>
                <w:color w:val="000000"/>
                <w:kern w:val="0"/>
                <w:sz w:val="22"/>
              </w:rPr>
              <w:t>300</w:t>
            </w:r>
            <w:r>
              <w:rPr>
                <w:rFonts w:ascii="仿宋" w:eastAsia="仿宋" w:cs="仿宋" w:hint="eastAsia"/>
                <w:color w:val="000000"/>
                <w:kern w:val="0"/>
                <w:sz w:val="22"/>
              </w:rPr>
              <w:t>指数证券投资基金</w:t>
            </w:r>
            <w:r>
              <w:rPr>
                <w:rFonts w:ascii="仿宋" w:eastAsia="仿宋" w:cs="仿宋"/>
                <w:color w:val="000000"/>
                <w:kern w:val="0"/>
                <w:sz w:val="22"/>
              </w:rPr>
              <w:t>(LOF)</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建信环保产业股票型证券投资基金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建信汇利灵活配置混合型证券投资基金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建信汇益一年持有期混合型证券投资基金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39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建信货币市场基金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建信积极配置混合型证券投资基金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建信嘉薪宝货币市场基金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建信健康民生混合型证券投资基金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建信精工制造指数增强型证券投资基金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建信科技创新</w:t>
            </w:r>
            <w:r>
              <w:rPr>
                <w:rFonts w:ascii="仿宋" w:eastAsia="仿宋" w:cs="仿宋"/>
                <w:color w:val="000000"/>
                <w:kern w:val="0"/>
                <w:sz w:val="22"/>
              </w:rPr>
              <w:t>3</w:t>
            </w:r>
            <w:r>
              <w:rPr>
                <w:rFonts w:ascii="仿宋" w:eastAsia="仿宋" w:cs="仿宋" w:hint="eastAsia"/>
                <w:color w:val="000000"/>
                <w:kern w:val="0"/>
                <w:sz w:val="22"/>
              </w:rPr>
              <w:t>年封闭运作灵活配置混合型证券投资基金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建信科技创新混合型证券投资基金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建信利率债策略纯债债券型证券投资基金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建信利率债债券型证券投资基金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建信量化事件驱动股票型证券投资基金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49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建信量化优享定期开放灵活配置混合型证券投资基金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建信龙头企业股票型证券投资基金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建信龙祥稳进</w:t>
            </w:r>
            <w:r>
              <w:rPr>
                <w:rFonts w:ascii="仿宋" w:eastAsia="仿宋" w:cs="仿宋"/>
                <w:color w:val="000000"/>
                <w:kern w:val="0"/>
                <w:sz w:val="22"/>
              </w:rPr>
              <w:t>6</w:t>
            </w:r>
            <w:r>
              <w:rPr>
                <w:rFonts w:ascii="仿宋" w:eastAsia="仿宋" w:cs="仿宋" w:hint="eastAsia"/>
                <w:color w:val="000000"/>
                <w:kern w:val="0"/>
                <w:sz w:val="22"/>
              </w:rPr>
              <w:t>个月持有期混合型基金中基金</w:t>
            </w:r>
            <w:r>
              <w:rPr>
                <w:rFonts w:ascii="仿宋" w:eastAsia="仿宋" w:cs="仿宋"/>
                <w:color w:val="000000"/>
                <w:kern w:val="0"/>
                <w:sz w:val="22"/>
              </w:rPr>
              <w:t>(FOF)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建信民丰回报定期开放混合型证券投资基金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建信纳斯达克</w:t>
            </w:r>
            <w:r>
              <w:rPr>
                <w:rFonts w:ascii="仿宋" w:eastAsia="仿宋" w:cs="仿宋"/>
                <w:color w:val="000000"/>
                <w:kern w:val="0"/>
                <w:sz w:val="22"/>
              </w:rPr>
              <w:t>100</w:t>
            </w:r>
            <w:r>
              <w:rPr>
                <w:rFonts w:ascii="仿宋" w:eastAsia="仿宋" w:cs="仿宋" w:hint="eastAsia"/>
                <w:color w:val="000000"/>
                <w:kern w:val="0"/>
                <w:sz w:val="22"/>
              </w:rPr>
              <w:t>指数型证券投资基金</w:t>
            </w:r>
            <w:r>
              <w:rPr>
                <w:rFonts w:ascii="仿宋" w:eastAsia="仿宋" w:cs="仿宋"/>
                <w:color w:val="000000"/>
                <w:kern w:val="0"/>
                <w:sz w:val="22"/>
              </w:rPr>
              <w:t>(QDII)</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建信内生动力混合型证券投资基金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建信彭博政策性银行债券</w:t>
            </w:r>
            <w:r>
              <w:rPr>
                <w:rFonts w:ascii="仿宋" w:eastAsia="仿宋" w:cs="仿宋"/>
                <w:color w:val="000000"/>
                <w:kern w:val="0"/>
                <w:sz w:val="22"/>
              </w:rPr>
              <w:t>1-5</w:t>
            </w:r>
            <w:r>
              <w:rPr>
                <w:rFonts w:ascii="仿宋" w:eastAsia="仿宋" w:cs="仿宋" w:hint="eastAsia"/>
                <w:color w:val="000000"/>
                <w:kern w:val="0"/>
                <w:sz w:val="22"/>
              </w:rPr>
              <w:t>年指数证券投资基金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建信普泽养老目标日期</w:t>
            </w:r>
            <w:r>
              <w:rPr>
                <w:rFonts w:ascii="仿宋" w:eastAsia="仿宋" w:cs="仿宋"/>
                <w:color w:val="000000"/>
                <w:kern w:val="0"/>
                <w:sz w:val="22"/>
              </w:rPr>
              <w:t>2040</w:t>
            </w:r>
            <w:r>
              <w:rPr>
                <w:rFonts w:ascii="仿宋" w:eastAsia="仿宋" w:cs="仿宋" w:hint="eastAsia"/>
                <w:color w:val="000000"/>
                <w:kern w:val="0"/>
                <w:sz w:val="22"/>
              </w:rPr>
              <w:t>三年持有期混合型发起式基金中基金</w:t>
            </w:r>
            <w:r>
              <w:rPr>
                <w:rFonts w:ascii="仿宋" w:eastAsia="仿宋" w:cs="仿宋"/>
                <w:color w:val="000000"/>
                <w:kern w:val="0"/>
                <w:sz w:val="22"/>
              </w:rPr>
              <w:t>(FOF)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建信潜力新蓝筹股票型证券投资基金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59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建信荣禧一年定期开放债券型证券投资基金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建信荣元一年定期开放债券型发起式证券投资基金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建信睿丰纯债定期开放债券型发起式证券投资基金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建信睿富纯债债券型证券投资基金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建信睿和纯债定期开放债券型发起式证券投资基金</w:t>
            </w:r>
          </w:p>
        </w:tc>
      </w:tr>
      <w:tr w:rsidR="00C51FC0" w:rsidTr="0059374E">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建信睿享纯债债券型证券投资基金</w:t>
            </w:r>
          </w:p>
        </w:tc>
      </w:tr>
      <w:tr w:rsidR="00C51FC0" w:rsidTr="0059374E">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65</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建信睿信三个月定期开放债券型发起式证券投资基金</w:t>
            </w:r>
          </w:p>
        </w:tc>
      </w:tr>
      <w:tr w:rsidR="00C51FC0" w:rsidTr="0059374E">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66</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建信睿兴纯债债券型证券投资基金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67</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建信睿阳一年定期开放债券型发起式证券投资基金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68</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建信睿怡纯债债券型证券投资基金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69</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建信睿盈灵活配置混合型证券投资基金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70</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建信润利增强债券型证券投资基金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71</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建信上海金交易型开放式证券投资基金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72</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建信上海金交易型开放式证券投资基金联接基金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建信上证</w:t>
            </w:r>
            <w:r>
              <w:rPr>
                <w:rFonts w:ascii="仿宋" w:eastAsia="仿宋" w:cs="仿宋"/>
                <w:color w:val="000000"/>
                <w:kern w:val="0"/>
                <w:sz w:val="22"/>
              </w:rPr>
              <w:t>50</w:t>
            </w:r>
            <w:r>
              <w:rPr>
                <w:rFonts w:ascii="仿宋" w:eastAsia="仿宋" w:cs="仿宋" w:hint="eastAsia"/>
                <w:color w:val="000000"/>
                <w:kern w:val="0"/>
                <w:sz w:val="22"/>
              </w:rPr>
              <w:t>交易型开放式指数证券投资基金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建信上证</w:t>
            </w:r>
            <w:r>
              <w:rPr>
                <w:rFonts w:ascii="仿宋" w:eastAsia="仿宋" w:cs="仿宋"/>
                <w:color w:val="000000"/>
                <w:kern w:val="0"/>
                <w:sz w:val="22"/>
              </w:rPr>
              <w:t>50</w:t>
            </w:r>
            <w:r>
              <w:rPr>
                <w:rFonts w:ascii="仿宋" w:eastAsia="仿宋" w:cs="仿宋" w:hint="eastAsia"/>
                <w:color w:val="000000"/>
                <w:kern w:val="0"/>
                <w:sz w:val="22"/>
              </w:rPr>
              <w:t>交易型开放式指数证券投资基金发起式联接基金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建信上证社会责任交易型开放式指数证券投资基金联接基金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建信社会责任混合型证券投资基金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建信深证</w:t>
            </w:r>
            <w:r>
              <w:rPr>
                <w:rFonts w:ascii="仿宋" w:eastAsia="仿宋" w:cs="仿宋"/>
                <w:color w:val="000000"/>
                <w:kern w:val="0"/>
                <w:sz w:val="22"/>
              </w:rPr>
              <w:t>100</w:t>
            </w:r>
            <w:r>
              <w:rPr>
                <w:rFonts w:ascii="仿宋" w:eastAsia="仿宋" w:cs="仿宋" w:hint="eastAsia"/>
                <w:color w:val="000000"/>
                <w:kern w:val="0"/>
                <w:sz w:val="22"/>
              </w:rPr>
              <w:t>指数增强型证券投资基金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建信深证基本面</w:t>
            </w:r>
            <w:r>
              <w:rPr>
                <w:rFonts w:ascii="仿宋" w:eastAsia="仿宋" w:cs="仿宋"/>
                <w:color w:val="000000"/>
                <w:kern w:val="0"/>
                <w:sz w:val="22"/>
              </w:rPr>
              <w:t>60</w:t>
            </w:r>
            <w:r>
              <w:rPr>
                <w:rFonts w:ascii="仿宋" w:eastAsia="仿宋" w:cs="仿宋" w:hint="eastAsia"/>
                <w:color w:val="000000"/>
                <w:kern w:val="0"/>
                <w:sz w:val="22"/>
              </w:rPr>
              <w:t>交易型开放式指数证券投资基金联接基金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79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建信食品饮料行业股票型证券投资基金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80</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建信收益增强债券型证券投资基金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81</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建信双息红利债券型证券投资基金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建信双债增强债券型证券投资基金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建信天添益货币市场基金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建信稳定得利债券型证券投资基金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建信稳定鑫利债券型证券投资基金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建信稳定增利债券型证券投资基金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建信沃信一年持有期混合型证券投资基金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建信现代服务业股票型证券投资基金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89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建信现金添利货币市场基金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建信现金添益交易型货币市场基金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建信现金增利货币市场基金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建信消费升级混合型证券投资基金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建信新经济灵活配置混合型证券投资基金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建信新能源行业股票型证券投资基金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建信新兴市场优选混合型证券投资基金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建信鑫安回报灵活配置混合型证券投资基金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建信鑫利回报灵活配置混合型证券投资基金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建信鑫利灵活配置混合型证券投资基金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99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建信鑫荣回报灵活配置混合型证券投资基金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建信鑫瑞回报灵活配置混合型证券投资基金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建信鑫稳回报灵活配置混合型证券投资基金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建信鑫怡</w:t>
            </w:r>
            <w:r>
              <w:rPr>
                <w:rFonts w:ascii="仿宋" w:eastAsia="仿宋" w:cs="仿宋"/>
                <w:color w:val="000000"/>
                <w:kern w:val="0"/>
                <w:sz w:val="22"/>
              </w:rPr>
              <w:t>90</w:t>
            </w:r>
            <w:r>
              <w:rPr>
                <w:rFonts w:ascii="仿宋" w:eastAsia="仿宋" w:cs="仿宋" w:hint="eastAsia"/>
                <w:color w:val="000000"/>
                <w:kern w:val="0"/>
                <w:sz w:val="22"/>
              </w:rPr>
              <w:t>天滚动持有中短债债券型证券投资基金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建信鑫悦</w:t>
            </w:r>
            <w:r>
              <w:rPr>
                <w:rFonts w:ascii="仿宋" w:eastAsia="仿宋" w:cs="仿宋"/>
                <w:color w:val="000000"/>
                <w:kern w:val="0"/>
                <w:sz w:val="22"/>
              </w:rPr>
              <w:t>90</w:t>
            </w:r>
            <w:r>
              <w:rPr>
                <w:rFonts w:ascii="仿宋" w:eastAsia="仿宋" w:cs="仿宋" w:hint="eastAsia"/>
                <w:color w:val="000000"/>
                <w:kern w:val="0"/>
                <w:sz w:val="22"/>
              </w:rPr>
              <w:t>天滚动持有中短债债券型发起式证券投资基金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建信鑫泽回报灵活配置混合型证券投资基金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建信信息产业股票型证券投资基金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建信信用增强债券型证券投资基金</w:t>
            </w:r>
          </w:p>
        </w:tc>
      </w:tr>
      <w:tr w:rsidR="00C51FC0" w:rsidTr="0059374E">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建信兴利灵活配置混合型证券投资基金</w:t>
            </w:r>
          </w:p>
        </w:tc>
      </w:tr>
      <w:tr w:rsidR="00C51FC0" w:rsidTr="0059374E">
        <w:trPr>
          <w:trHeight w:val="288"/>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108</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建信兴润一年持有期混合型证券投资基金</w:t>
            </w:r>
          </w:p>
        </w:tc>
      </w:tr>
      <w:tr w:rsidR="00C51FC0" w:rsidTr="0059374E">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109</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建信央视财经</w:t>
            </w:r>
            <w:r>
              <w:rPr>
                <w:rFonts w:ascii="仿宋" w:eastAsia="仿宋" w:cs="仿宋"/>
                <w:color w:val="000000"/>
                <w:kern w:val="0"/>
                <w:sz w:val="22"/>
              </w:rPr>
              <w:t>50</w:t>
            </w:r>
            <w:r>
              <w:rPr>
                <w:rFonts w:ascii="仿宋" w:eastAsia="仿宋" w:cs="仿宋" w:hint="eastAsia"/>
                <w:color w:val="000000"/>
                <w:kern w:val="0"/>
                <w:sz w:val="22"/>
              </w:rPr>
              <w:t>指数证券投资基金</w:t>
            </w:r>
            <w:r>
              <w:rPr>
                <w:rFonts w:ascii="仿宋" w:eastAsia="仿宋" w:cs="仿宋"/>
                <w:color w:val="000000"/>
                <w:kern w:val="0"/>
                <w:sz w:val="22"/>
              </w:rPr>
              <w:t>(LOF)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建信医疗健康行业股票型证券投资基金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建信易盛郑商所能源化工期货交易型开放式指数证券投资基金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建信易盛郑商所能源化工期货交易型开放式指数证券投资基金发起式联接基金</w:t>
            </w:r>
          </w:p>
        </w:tc>
      </w:tr>
      <w:tr w:rsidR="00C51FC0" w:rsidTr="00BC7E37">
        <w:trPr>
          <w:trHeight w:val="288"/>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建信优化配置混合型证券投资基金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建信优势动力混合型证券投资基金</w:t>
            </w:r>
            <w:r>
              <w:rPr>
                <w:rFonts w:ascii="仿宋" w:eastAsia="仿宋" w:cs="仿宋"/>
                <w:color w:val="000000"/>
                <w:kern w:val="0"/>
                <w:sz w:val="22"/>
              </w:rPr>
              <w:t>(LOF)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115</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建信优享平衡养老目标三年持有期混合型发起式基金中基金</w:t>
            </w:r>
            <w:r>
              <w:rPr>
                <w:rFonts w:ascii="仿宋" w:eastAsia="仿宋" w:cs="仿宋"/>
                <w:color w:val="000000"/>
                <w:kern w:val="0"/>
                <w:sz w:val="22"/>
              </w:rPr>
              <w:t>(FOF)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116</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建信优享稳健养老目标一年持有期混合型基金中基金</w:t>
            </w:r>
            <w:r>
              <w:rPr>
                <w:rFonts w:ascii="仿宋" w:eastAsia="仿宋" w:cs="仿宋"/>
                <w:color w:val="000000"/>
                <w:kern w:val="0"/>
                <w:sz w:val="22"/>
              </w:rPr>
              <w:t>(FOF)</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117</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建信优选成长混合型证券投资基金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建信裕丰利率债三个月定期开放债券型证券投资基金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119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建信裕利灵活配置混合型证券投资基金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120</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建信战略精选灵活配置混合型证券投资基金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121</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建信臻选混合型证券投资基金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122</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建信智汇优选一年持有期混合型管理人中管理人</w:t>
            </w:r>
            <w:r>
              <w:rPr>
                <w:rFonts w:ascii="仿宋" w:eastAsia="仿宋" w:cs="仿宋"/>
                <w:color w:val="000000"/>
                <w:kern w:val="0"/>
                <w:sz w:val="22"/>
              </w:rPr>
              <w:t>(MOM)</w:t>
            </w:r>
            <w:r>
              <w:rPr>
                <w:rFonts w:ascii="仿宋" w:eastAsia="仿宋" w:cs="仿宋" w:hint="eastAsia"/>
                <w:color w:val="000000"/>
                <w:kern w:val="0"/>
                <w:sz w:val="22"/>
              </w:rPr>
              <w:t>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123</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建信智能汽车股票型证券投资基金</w:t>
            </w:r>
          </w:p>
        </w:tc>
      </w:tr>
      <w:tr w:rsidR="00C51FC0" w:rsidTr="00BC7E37">
        <w:trPr>
          <w:trHeight w:val="312"/>
        </w:trPr>
        <w:tc>
          <w:tcPr>
            <w:tcW w:w="1008" w:type="dxa"/>
            <w:tcBorders>
              <w:top w:val="nil"/>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124</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建信智能生活混合型证券投资基金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125</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建信中短债纯债债券型证券投资基金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126</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建信中关村产业园封闭式基础设施证券投资基金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127</w:t>
            </w:r>
          </w:p>
        </w:tc>
        <w:tc>
          <w:tcPr>
            <w:tcW w:w="7421" w:type="dxa"/>
            <w:tcBorders>
              <w:top w:val="single" w:sz="4" w:space="0" w:color="auto"/>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建信中国制造</w:t>
            </w:r>
            <w:r>
              <w:rPr>
                <w:rFonts w:ascii="仿宋" w:eastAsia="仿宋" w:cs="仿宋"/>
                <w:color w:val="000000"/>
                <w:kern w:val="0"/>
                <w:sz w:val="22"/>
              </w:rPr>
              <w:t>2025</w:t>
            </w:r>
            <w:r>
              <w:rPr>
                <w:rFonts w:ascii="仿宋" w:eastAsia="仿宋" w:cs="仿宋" w:hint="eastAsia"/>
                <w:color w:val="000000"/>
                <w:kern w:val="0"/>
                <w:sz w:val="22"/>
              </w:rPr>
              <w:t>股票型证券投资基金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128</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建信中小盘先锋股票型证券投资基金</w:t>
            </w:r>
          </w:p>
        </w:tc>
      </w:tr>
      <w:tr w:rsidR="00C51FC0"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129</w:t>
            </w:r>
          </w:p>
        </w:tc>
        <w:tc>
          <w:tcPr>
            <w:tcW w:w="7421" w:type="dxa"/>
            <w:tcBorders>
              <w:top w:val="nil"/>
              <w:left w:val="single" w:sz="4" w:space="0" w:color="auto"/>
              <w:bottom w:val="single" w:sz="4" w:space="0" w:color="auto"/>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建信中债</w:t>
            </w:r>
            <w:r>
              <w:rPr>
                <w:rFonts w:ascii="仿宋" w:eastAsia="仿宋" w:cs="仿宋"/>
                <w:color w:val="000000"/>
                <w:kern w:val="0"/>
                <w:sz w:val="22"/>
              </w:rPr>
              <w:t>1-3</w:t>
            </w:r>
            <w:r>
              <w:rPr>
                <w:rFonts w:ascii="仿宋" w:eastAsia="仿宋" w:cs="仿宋" w:hint="eastAsia"/>
                <w:color w:val="000000"/>
                <w:kern w:val="0"/>
                <w:sz w:val="22"/>
              </w:rPr>
              <w:t>年国开行债券指数证券投资基金</w:t>
            </w:r>
          </w:p>
        </w:tc>
      </w:tr>
      <w:tr w:rsidR="00C51FC0" w:rsidTr="00C51FC0">
        <w:trPr>
          <w:trHeight w:val="312"/>
        </w:trPr>
        <w:tc>
          <w:tcPr>
            <w:tcW w:w="1008" w:type="dxa"/>
            <w:tcBorders>
              <w:top w:val="single" w:sz="4" w:space="0" w:color="auto"/>
              <w:left w:val="single" w:sz="4" w:space="0" w:color="auto"/>
              <w:bottom w:val="single" w:sz="4" w:space="0" w:color="auto"/>
              <w:right w:val="single" w:sz="4" w:space="0" w:color="auto"/>
            </w:tcBorders>
            <w:hideMark/>
          </w:tcPr>
          <w:p w:rsidR="00C51FC0" w:rsidRDefault="00C51FC0" w:rsidP="00C51FC0">
            <w:pPr>
              <w:jc w:val="center"/>
              <w:rPr>
                <w:szCs w:val="21"/>
              </w:rPr>
            </w:pPr>
            <w:r>
              <w:rPr>
                <w:rFonts w:ascii="仿宋" w:eastAsia="仿宋" w:cs="仿宋"/>
                <w:color w:val="000000"/>
                <w:kern w:val="0"/>
                <w:sz w:val="22"/>
              </w:rPr>
              <w:t>130</w:t>
            </w:r>
          </w:p>
        </w:tc>
        <w:tc>
          <w:tcPr>
            <w:tcW w:w="7421" w:type="dxa"/>
            <w:tcBorders>
              <w:top w:val="nil"/>
              <w:left w:val="single" w:sz="4" w:space="0" w:color="auto"/>
              <w:bottom w:val="nil"/>
              <w:right w:val="single" w:sz="4" w:space="0" w:color="auto"/>
            </w:tcBorders>
            <w:noWrap/>
            <w:hideMark/>
          </w:tcPr>
          <w:p w:rsidR="00C51FC0" w:rsidRDefault="00C51FC0">
            <w:pPr>
              <w:widowControl/>
              <w:jc w:val="left"/>
              <w:rPr>
                <w:rFonts w:ascii="仿宋" w:eastAsia="仿宋" w:hAnsi="仿宋"/>
                <w:sz w:val="22"/>
              </w:rPr>
            </w:pPr>
            <w:r>
              <w:rPr>
                <w:rFonts w:ascii="仿宋" w:eastAsia="仿宋" w:cs="仿宋" w:hint="eastAsia"/>
                <w:color w:val="000000"/>
                <w:kern w:val="0"/>
                <w:sz w:val="22"/>
              </w:rPr>
              <w:t>建信中债</w:t>
            </w:r>
            <w:r>
              <w:rPr>
                <w:rFonts w:ascii="仿宋" w:eastAsia="仿宋" w:cs="仿宋"/>
                <w:color w:val="000000"/>
                <w:kern w:val="0"/>
                <w:sz w:val="22"/>
              </w:rPr>
              <w:t>1-3</w:t>
            </w:r>
            <w:r>
              <w:rPr>
                <w:rFonts w:ascii="仿宋" w:eastAsia="仿宋" w:cs="仿宋" w:hint="eastAsia"/>
                <w:color w:val="000000"/>
                <w:kern w:val="0"/>
                <w:sz w:val="22"/>
              </w:rPr>
              <w:t>年农发行债券指数证券投资基金</w:t>
            </w:r>
          </w:p>
        </w:tc>
      </w:tr>
      <w:tr w:rsidR="00C51FC0" w:rsidTr="009F6417">
        <w:trPr>
          <w:trHeight w:val="312"/>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Default="00C51FC0" w:rsidP="00C51FC0">
            <w:pPr>
              <w:jc w:val="center"/>
              <w:rPr>
                <w:rFonts w:ascii="仿宋" w:eastAsia="仿宋" w:cs="仿宋"/>
                <w:color w:val="000000"/>
                <w:kern w:val="0"/>
                <w:sz w:val="22"/>
              </w:rPr>
            </w:pPr>
            <w:r>
              <w:rPr>
                <w:rFonts w:ascii="仿宋" w:eastAsia="仿宋" w:cs="仿宋"/>
                <w:color w:val="000000"/>
                <w:kern w:val="0"/>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Default="00C51FC0">
            <w:pPr>
              <w:widowControl/>
              <w:jc w:val="left"/>
              <w:rPr>
                <w:rFonts w:ascii="仿宋" w:eastAsia="仿宋" w:cs="仿宋"/>
                <w:color w:val="000000"/>
                <w:kern w:val="0"/>
                <w:sz w:val="22"/>
              </w:rPr>
            </w:pPr>
            <w:r>
              <w:rPr>
                <w:rFonts w:ascii="仿宋" w:eastAsia="仿宋" w:cs="仿宋" w:hint="eastAsia"/>
                <w:color w:val="000000"/>
                <w:kern w:val="0"/>
                <w:sz w:val="22"/>
              </w:rPr>
              <w:t>建信中债</w:t>
            </w:r>
            <w:r>
              <w:rPr>
                <w:rFonts w:ascii="仿宋" w:eastAsia="仿宋" w:cs="仿宋"/>
                <w:color w:val="000000"/>
                <w:kern w:val="0"/>
                <w:sz w:val="22"/>
              </w:rPr>
              <w:t>3-5</w:t>
            </w:r>
            <w:r>
              <w:rPr>
                <w:rFonts w:ascii="仿宋" w:eastAsia="仿宋" w:cs="仿宋" w:hint="eastAsia"/>
                <w:color w:val="000000"/>
                <w:kern w:val="0"/>
                <w:sz w:val="22"/>
              </w:rPr>
              <w:t>年国开行债券指数证券投资基金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建信中债湖北省地方政府债指数发起式证券投资基金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w:t>
            </w:r>
            <w:r>
              <w:rPr>
                <w:rFonts w:ascii="仿宋" w:eastAsia="仿宋" w:cs="仿宋"/>
                <w:color w:val="000000"/>
                <w:kern w:val="0"/>
                <w:sz w:val="22"/>
              </w:rPr>
              <w:t>1000</w:t>
            </w:r>
            <w:r>
              <w:rPr>
                <w:rFonts w:ascii="仿宋" w:eastAsia="仿宋" w:cs="仿宋" w:hint="eastAsia"/>
                <w:color w:val="000000"/>
                <w:kern w:val="0"/>
                <w:sz w:val="22"/>
              </w:rPr>
              <w:t>指数增强型发起式证券投资基金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w:t>
            </w:r>
            <w:r>
              <w:rPr>
                <w:rFonts w:ascii="仿宋" w:eastAsia="仿宋" w:cs="仿宋"/>
                <w:color w:val="000000"/>
                <w:kern w:val="0"/>
                <w:sz w:val="22"/>
              </w:rPr>
              <w:t>500</w:t>
            </w:r>
            <w:r>
              <w:rPr>
                <w:rFonts w:ascii="仿宋" w:eastAsia="仿宋" w:cs="仿宋" w:hint="eastAsia"/>
                <w:color w:val="000000"/>
                <w:kern w:val="0"/>
                <w:sz w:val="22"/>
              </w:rPr>
              <w:t>指数增强型证券投资基金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建信中证创新药产业交易型开放式指数证券投资基金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建信中证红利潜力指数证券投资基金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建信中证沪港深粤港澳大湾区发展主题交易型开放式指数证券投资基金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建信中证全指医疗保健设备与服务交易型开放式指数证券投资基金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建信中证全指证券公司交易型开放式指数证券投资基金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建信中证全指证券公司交易型开放式指数证券投资基金发起式联接基金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建信中证细分有色金属产业主题交易型开放式指数证券投资基金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建信中证新材料主题交易型开放式指数证券投资基金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建信中证饮料主题交易型开放式指数证券投资基金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建信中证智能电动汽车交易型开放式指数证券投资基金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建信周盈安心理财债券型证券投资基金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建信转债增强债券型证券投资基金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建信卓越成长一年持有期混合型证券投资基金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上证社会责任交易型开放式指数证券投资基金</w:t>
            </w:r>
          </w:p>
        </w:tc>
      </w:tr>
      <w:tr w:rsidR="00C51FC0" w:rsidRPr="00677D41" w:rsidTr="00E4419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1FC0" w:rsidRPr="00677D41" w:rsidRDefault="00C51FC0" w:rsidP="00C51FC0">
            <w:pPr>
              <w:widowControl/>
              <w:jc w:val="center"/>
              <w:rPr>
                <w:rFonts w:ascii="仿宋" w:eastAsia="仿宋" w:hAnsi="仿宋"/>
                <w:color w:val="000000"/>
                <w:sz w:val="22"/>
              </w:rPr>
            </w:pPr>
            <w:r>
              <w:rPr>
                <w:rFonts w:ascii="仿宋" w:eastAsia="仿宋" w:cs="仿宋"/>
                <w:color w:val="000000"/>
                <w:kern w:val="0"/>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C51FC0" w:rsidRPr="00677D41" w:rsidRDefault="00C51FC0" w:rsidP="00E44192">
            <w:pPr>
              <w:widowControl/>
              <w:jc w:val="left"/>
              <w:rPr>
                <w:rFonts w:ascii="仿宋" w:eastAsia="仿宋" w:hAnsi="仿宋"/>
                <w:color w:val="000000"/>
                <w:sz w:val="22"/>
              </w:rPr>
            </w:pPr>
            <w:r>
              <w:rPr>
                <w:rFonts w:ascii="仿宋" w:eastAsia="仿宋" w:cs="仿宋" w:hint="eastAsia"/>
                <w:color w:val="000000"/>
                <w:kern w:val="0"/>
                <w:sz w:val="22"/>
              </w:rPr>
              <w:t>深证基本面</w:t>
            </w:r>
            <w:r>
              <w:rPr>
                <w:rFonts w:ascii="仿宋" w:eastAsia="仿宋" w:cs="仿宋"/>
                <w:color w:val="000000"/>
                <w:kern w:val="0"/>
                <w:sz w:val="22"/>
              </w:rPr>
              <w:t>60</w:t>
            </w:r>
            <w:r>
              <w:rPr>
                <w:rFonts w:ascii="仿宋" w:eastAsia="仿宋" w:cs="仿宋" w:hint="eastAsia"/>
                <w:color w:val="000000"/>
                <w:kern w:val="0"/>
                <w:sz w:val="22"/>
              </w:rPr>
              <w:t>交易型开放式指数证券投资基金</w:t>
            </w:r>
          </w:p>
        </w:tc>
      </w:tr>
    </w:tbl>
    <w:p w:rsidR="00EB5921" w:rsidRDefault="00BC7E37" w:rsidP="00BC7E37">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72D0F">
        <w:rPr>
          <w:rFonts w:ascii="仿宋" w:eastAsia="仿宋" w:hAnsi="仿宋" w:hint="eastAsia"/>
          <w:color w:val="000000" w:themeColor="text1"/>
          <w:sz w:val="32"/>
          <w:szCs w:val="32"/>
        </w:rPr>
        <w:t xml:space="preserve"> </w:t>
      </w:r>
      <w:r w:rsidR="00EB5921">
        <w:rPr>
          <w:rFonts w:ascii="仿宋" w:eastAsia="仿宋" w:hAnsi="仿宋" w:hint="eastAsia"/>
          <w:color w:val="000000" w:themeColor="text1"/>
          <w:sz w:val="32"/>
          <w:szCs w:val="32"/>
        </w:rPr>
        <w:t>如有疑问可拨打本公司客服电话（400-81-95533）咨询。</w:t>
      </w:r>
    </w:p>
    <w:p w:rsidR="00245C66" w:rsidRDefault="00EB5921" w:rsidP="00EB592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bookmarkStart w:id="0" w:name="_GoBack"/>
      <w:bookmarkEnd w:id="0"/>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245C66" w:rsidRDefault="000B3A17"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0C2CC8">
        <w:rPr>
          <w:rFonts w:ascii="仿宋" w:eastAsia="仿宋" w:hAnsi="仿宋" w:hint="eastAsia"/>
          <w:color w:val="000000" w:themeColor="text1"/>
          <w:sz w:val="32"/>
          <w:szCs w:val="32"/>
        </w:rPr>
        <w:t>202</w:t>
      </w:r>
      <w:r w:rsidR="00C51FC0">
        <w:rPr>
          <w:rFonts w:ascii="仿宋" w:eastAsia="仿宋" w:hAnsi="仿宋" w:hint="eastAsia"/>
          <w:color w:val="000000" w:themeColor="text1"/>
          <w:sz w:val="32"/>
          <w:szCs w:val="32"/>
        </w:rPr>
        <w:t>2</w:t>
      </w:r>
      <w:r w:rsidR="00245C66" w:rsidRPr="000C2CC8">
        <w:rPr>
          <w:rFonts w:ascii="仿宋" w:eastAsia="仿宋" w:hAnsi="仿宋" w:hint="eastAsia"/>
          <w:color w:val="000000" w:themeColor="text1"/>
          <w:sz w:val="32"/>
          <w:szCs w:val="32"/>
        </w:rPr>
        <w:t>年</w:t>
      </w:r>
      <w:r w:rsidR="005A63E6" w:rsidRPr="000C2CC8">
        <w:rPr>
          <w:rFonts w:ascii="仿宋" w:eastAsia="仿宋" w:hAnsi="仿宋" w:hint="eastAsia"/>
          <w:color w:val="000000" w:themeColor="text1"/>
          <w:sz w:val="32"/>
          <w:szCs w:val="32"/>
        </w:rPr>
        <w:t>8</w:t>
      </w:r>
      <w:r w:rsidR="00245C66" w:rsidRPr="000C2CC8">
        <w:rPr>
          <w:rFonts w:ascii="仿宋" w:eastAsia="仿宋" w:hAnsi="仿宋" w:hint="eastAsia"/>
          <w:color w:val="000000" w:themeColor="text1"/>
          <w:sz w:val="32"/>
          <w:szCs w:val="32"/>
        </w:rPr>
        <w:t>月</w:t>
      </w:r>
      <w:r w:rsidR="002E7DF2">
        <w:rPr>
          <w:rFonts w:ascii="仿宋" w:eastAsia="仿宋" w:hAnsi="仿宋" w:hint="eastAsia"/>
          <w:color w:val="000000" w:themeColor="text1"/>
          <w:sz w:val="32"/>
          <w:szCs w:val="32"/>
        </w:rPr>
        <w:t>30</w:t>
      </w:r>
      <w:r w:rsidR="00245C66" w:rsidRPr="000C2CC8">
        <w:rPr>
          <w:rFonts w:ascii="仿宋" w:eastAsia="仿宋" w:hAnsi="仿宋" w:hint="eastAsia"/>
          <w:color w:val="000000" w:themeColor="text1"/>
          <w:sz w:val="32"/>
          <w:szCs w:val="32"/>
        </w:rPr>
        <w:t>日</w:t>
      </w:r>
    </w:p>
    <w:p w:rsidR="00245C66" w:rsidRPr="007518D8" w:rsidRDefault="00245C66"/>
    <w:sectPr w:rsidR="00245C66" w:rsidRPr="007518D8" w:rsidSect="00531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A4" w:rsidRDefault="005223A4" w:rsidP="003A25F6">
      <w:r>
        <w:separator/>
      </w:r>
    </w:p>
  </w:endnote>
  <w:endnote w:type="continuationSeparator" w:id="0">
    <w:p w:rsidR="005223A4" w:rsidRDefault="005223A4" w:rsidP="003A2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A4" w:rsidRDefault="005223A4" w:rsidP="003A25F6">
      <w:r>
        <w:separator/>
      </w:r>
    </w:p>
  </w:footnote>
  <w:footnote w:type="continuationSeparator" w:id="0">
    <w:p w:rsidR="005223A4" w:rsidRDefault="005223A4" w:rsidP="003A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A69"/>
    <w:rsid w:val="00097729"/>
    <w:rsid w:val="000B3A17"/>
    <w:rsid w:val="000B50B3"/>
    <w:rsid w:val="000B5352"/>
    <w:rsid w:val="000C2CC8"/>
    <w:rsid w:val="00222510"/>
    <w:rsid w:val="00245C66"/>
    <w:rsid w:val="002E0373"/>
    <w:rsid w:val="002E7DF2"/>
    <w:rsid w:val="002F50A3"/>
    <w:rsid w:val="00303A24"/>
    <w:rsid w:val="003A25F6"/>
    <w:rsid w:val="003B3412"/>
    <w:rsid w:val="00402F94"/>
    <w:rsid w:val="00457EED"/>
    <w:rsid w:val="004A6113"/>
    <w:rsid w:val="005223A4"/>
    <w:rsid w:val="005259FE"/>
    <w:rsid w:val="00531E86"/>
    <w:rsid w:val="00561332"/>
    <w:rsid w:val="00572D0F"/>
    <w:rsid w:val="0059374E"/>
    <w:rsid w:val="005A63E6"/>
    <w:rsid w:val="00670DF4"/>
    <w:rsid w:val="006C25B2"/>
    <w:rsid w:val="00744EAA"/>
    <w:rsid w:val="007518D8"/>
    <w:rsid w:val="007572CA"/>
    <w:rsid w:val="00787D71"/>
    <w:rsid w:val="007A540A"/>
    <w:rsid w:val="007B1C84"/>
    <w:rsid w:val="00804BA8"/>
    <w:rsid w:val="008D4701"/>
    <w:rsid w:val="008F418C"/>
    <w:rsid w:val="00984AF6"/>
    <w:rsid w:val="00991D3D"/>
    <w:rsid w:val="009E4056"/>
    <w:rsid w:val="00A511CE"/>
    <w:rsid w:val="00A969DD"/>
    <w:rsid w:val="00B91055"/>
    <w:rsid w:val="00B91C9E"/>
    <w:rsid w:val="00BB192D"/>
    <w:rsid w:val="00BB1E9D"/>
    <w:rsid w:val="00BB7020"/>
    <w:rsid w:val="00BC3CB9"/>
    <w:rsid w:val="00BC7E37"/>
    <w:rsid w:val="00BE2CCC"/>
    <w:rsid w:val="00C22CC9"/>
    <w:rsid w:val="00C51FC0"/>
    <w:rsid w:val="00C97C68"/>
    <w:rsid w:val="00CD75CB"/>
    <w:rsid w:val="00D35573"/>
    <w:rsid w:val="00DA3620"/>
    <w:rsid w:val="00E91951"/>
    <w:rsid w:val="00EA3A69"/>
    <w:rsid w:val="00EB27C3"/>
    <w:rsid w:val="00EB5921"/>
    <w:rsid w:val="00EF7E7C"/>
    <w:rsid w:val="00F947FB"/>
    <w:rsid w:val="00FC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webSettings.xml><?xml version="1.0" encoding="utf-8"?>
<w:webSettings xmlns:r="http://schemas.openxmlformats.org/officeDocument/2006/relationships" xmlns:w="http://schemas.openxmlformats.org/wordprocessingml/2006/main">
  <w:divs>
    <w:div w:id="267279196">
      <w:bodyDiv w:val="1"/>
      <w:marLeft w:val="0"/>
      <w:marRight w:val="0"/>
      <w:marTop w:val="0"/>
      <w:marBottom w:val="0"/>
      <w:divBdr>
        <w:top w:val="none" w:sz="0" w:space="0" w:color="auto"/>
        <w:left w:val="none" w:sz="0" w:space="0" w:color="auto"/>
        <w:bottom w:val="none" w:sz="0" w:space="0" w:color="auto"/>
        <w:right w:val="none" w:sz="0" w:space="0" w:color="auto"/>
      </w:divBdr>
    </w:div>
    <w:div w:id="451019269">
      <w:bodyDiv w:val="1"/>
      <w:marLeft w:val="0"/>
      <w:marRight w:val="0"/>
      <w:marTop w:val="0"/>
      <w:marBottom w:val="0"/>
      <w:divBdr>
        <w:top w:val="none" w:sz="0" w:space="0" w:color="auto"/>
        <w:left w:val="none" w:sz="0" w:space="0" w:color="auto"/>
        <w:bottom w:val="none" w:sz="0" w:space="0" w:color="auto"/>
        <w:right w:val="none" w:sz="0" w:space="0" w:color="auto"/>
      </w:divBdr>
    </w:div>
    <w:div w:id="467286783">
      <w:bodyDiv w:val="1"/>
      <w:marLeft w:val="0"/>
      <w:marRight w:val="0"/>
      <w:marTop w:val="0"/>
      <w:marBottom w:val="0"/>
      <w:divBdr>
        <w:top w:val="none" w:sz="0" w:space="0" w:color="auto"/>
        <w:left w:val="none" w:sz="0" w:space="0" w:color="auto"/>
        <w:bottom w:val="none" w:sz="0" w:space="0" w:color="auto"/>
        <w:right w:val="none" w:sz="0" w:space="0" w:color="auto"/>
      </w:divBdr>
    </w:div>
    <w:div w:id="608271813">
      <w:bodyDiv w:val="1"/>
      <w:marLeft w:val="0"/>
      <w:marRight w:val="0"/>
      <w:marTop w:val="0"/>
      <w:marBottom w:val="0"/>
      <w:divBdr>
        <w:top w:val="none" w:sz="0" w:space="0" w:color="auto"/>
        <w:left w:val="none" w:sz="0" w:space="0" w:color="auto"/>
        <w:bottom w:val="none" w:sz="0" w:space="0" w:color="auto"/>
        <w:right w:val="none" w:sz="0" w:space="0" w:color="auto"/>
      </w:divBdr>
    </w:div>
    <w:div w:id="665322982">
      <w:bodyDiv w:val="1"/>
      <w:marLeft w:val="0"/>
      <w:marRight w:val="0"/>
      <w:marTop w:val="0"/>
      <w:marBottom w:val="0"/>
      <w:divBdr>
        <w:top w:val="none" w:sz="0" w:space="0" w:color="auto"/>
        <w:left w:val="none" w:sz="0" w:space="0" w:color="auto"/>
        <w:bottom w:val="none" w:sz="0" w:space="0" w:color="auto"/>
        <w:right w:val="none" w:sz="0" w:space="0" w:color="auto"/>
      </w:divBdr>
    </w:div>
    <w:div w:id="691496704">
      <w:bodyDiv w:val="1"/>
      <w:marLeft w:val="0"/>
      <w:marRight w:val="0"/>
      <w:marTop w:val="0"/>
      <w:marBottom w:val="0"/>
      <w:divBdr>
        <w:top w:val="none" w:sz="0" w:space="0" w:color="auto"/>
        <w:left w:val="none" w:sz="0" w:space="0" w:color="auto"/>
        <w:bottom w:val="none" w:sz="0" w:space="0" w:color="auto"/>
        <w:right w:val="none" w:sz="0" w:space="0" w:color="auto"/>
      </w:divBdr>
    </w:div>
    <w:div w:id="922494771">
      <w:bodyDiv w:val="1"/>
      <w:marLeft w:val="0"/>
      <w:marRight w:val="0"/>
      <w:marTop w:val="0"/>
      <w:marBottom w:val="0"/>
      <w:divBdr>
        <w:top w:val="none" w:sz="0" w:space="0" w:color="auto"/>
        <w:left w:val="none" w:sz="0" w:space="0" w:color="auto"/>
        <w:bottom w:val="none" w:sz="0" w:space="0" w:color="auto"/>
        <w:right w:val="none" w:sz="0" w:space="0" w:color="auto"/>
      </w:divBdr>
    </w:div>
    <w:div w:id="1236432000">
      <w:bodyDiv w:val="1"/>
      <w:marLeft w:val="0"/>
      <w:marRight w:val="0"/>
      <w:marTop w:val="0"/>
      <w:marBottom w:val="0"/>
      <w:divBdr>
        <w:top w:val="none" w:sz="0" w:space="0" w:color="auto"/>
        <w:left w:val="none" w:sz="0" w:space="0" w:color="auto"/>
        <w:bottom w:val="none" w:sz="0" w:space="0" w:color="auto"/>
        <w:right w:val="none" w:sz="0" w:space="0" w:color="auto"/>
      </w:divBdr>
    </w:div>
    <w:div w:id="1333952437">
      <w:bodyDiv w:val="1"/>
      <w:marLeft w:val="0"/>
      <w:marRight w:val="0"/>
      <w:marTop w:val="0"/>
      <w:marBottom w:val="0"/>
      <w:divBdr>
        <w:top w:val="none" w:sz="0" w:space="0" w:color="auto"/>
        <w:left w:val="none" w:sz="0" w:space="0" w:color="auto"/>
        <w:bottom w:val="none" w:sz="0" w:space="0" w:color="auto"/>
        <w:right w:val="none" w:sz="0" w:space="0" w:color="auto"/>
      </w:divBdr>
    </w:div>
    <w:div w:id="1396007828">
      <w:bodyDiv w:val="1"/>
      <w:marLeft w:val="0"/>
      <w:marRight w:val="0"/>
      <w:marTop w:val="0"/>
      <w:marBottom w:val="0"/>
      <w:divBdr>
        <w:top w:val="none" w:sz="0" w:space="0" w:color="auto"/>
        <w:left w:val="none" w:sz="0" w:space="0" w:color="auto"/>
        <w:bottom w:val="none" w:sz="0" w:space="0" w:color="auto"/>
        <w:right w:val="none" w:sz="0" w:space="0" w:color="auto"/>
      </w:divBdr>
    </w:div>
    <w:div w:id="1857882016">
      <w:bodyDiv w:val="1"/>
      <w:marLeft w:val="0"/>
      <w:marRight w:val="0"/>
      <w:marTop w:val="0"/>
      <w:marBottom w:val="0"/>
      <w:divBdr>
        <w:top w:val="none" w:sz="0" w:space="0" w:color="auto"/>
        <w:left w:val="none" w:sz="0" w:space="0" w:color="auto"/>
        <w:bottom w:val="none" w:sz="0" w:space="0" w:color="auto"/>
        <w:right w:val="none" w:sz="0" w:space="0" w:color="auto"/>
      </w:divBdr>
    </w:div>
    <w:div w:id="1869683240">
      <w:bodyDiv w:val="1"/>
      <w:marLeft w:val="0"/>
      <w:marRight w:val="0"/>
      <w:marTop w:val="0"/>
      <w:marBottom w:val="0"/>
      <w:divBdr>
        <w:top w:val="none" w:sz="0" w:space="0" w:color="auto"/>
        <w:left w:val="none" w:sz="0" w:space="0" w:color="auto"/>
        <w:bottom w:val="none" w:sz="0" w:space="0" w:color="auto"/>
        <w:right w:val="none" w:sz="0" w:space="0" w:color="auto"/>
      </w:divBdr>
    </w:div>
    <w:div w:id="2124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D02D8-061F-4352-AEE9-06C7BD89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4</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邹苇航</dc:creator>
  <cp:lastModifiedBy>ZHONGM</cp:lastModifiedBy>
  <cp:revision>2</cp:revision>
  <dcterms:created xsi:type="dcterms:W3CDTF">2022-08-29T16:03:00Z</dcterms:created>
  <dcterms:modified xsi:type="dcterms:W3CDTF">2022-08-29T16:03:00Z</dcterms:modified>
</cp:coreProperties>
</file>