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69" w:rsidRPr="00697FFD" w:rsidRDefault="002A2769" w:rsidP="002A2769">
      <w:pPr>
        <w:spacing w:line="360" w:lineRule="auto"/>
        <w:jc w:val="center"/>
        <w:rPr>
          <w:rFonts w:ascii="宋体" w:hAnsi="宋体" w:cs="宋体"/>
          <w:kern w:val="0"/>
          <w:sz w:val="24"/>
        </w:rPr>
      </w:pPr>
      <w:bookmarkStart w:id="0" w:name="_GoBack"/>
      <w:bookmarkEnd w:id="0"/>
      <w:r w:rsidRPr="00697FFD">
        <w:rPr>
          <w:rFonts w:ascii="宋体" w:hAnsi="宋体" w:cs="宋体" w:hint="eastAsia"/>
          <w:kern w:val="0"/>
          <w:sz w:val="24"/>
        </w:rPr>
        <w:t>景顺长城基金管理有限公司</w:t>
      </w:r>
    </w:p>
    <w:p w:rsidR="002A2769" w:rsidRPr="00697FFD" w:rsidRDefault="002A2769" w:rsidP="002A2769">
      <w:pPr>
        <w:spacing w:line="360" w:lineRule="auto"/>
        <w:jc w:val="center"/>
        <w:rPr>
          <w:rFonts w:ascii="宋体" w:hAnsi="宋体" w:cs="宋体"/>
          <w:kern w:val="0"/>
          <w:sz w:val="24"/>
        </w:rPr>
      </w:pPr>
      <w:r w:rsidRPr="00697FFD">
        <w:rPr>
          <w:rFonts w:ascii="宋体" w:hAnsi="宋体" w:cs="宋体" w:hint="eastAsia"/>
          <w:kern w:val="0"/>
          <w:sz w:val="24"/>
        </w:rPr>
        <w:t>关于旗下基金投资</w:t>
      </w:r>
      <w:r w:rsidR="00D04550" w:rsidRPr="00D04550">
        <w:rPr>
          <w:rFonts w:ascii="宋体" w:hAnsi="宋体" w:cs="宋体" w:hint="eastAsia"/>
          <w:kern w:val="0"/>
          <w:sz w:val="24"/>
        </w:rPr>
        <w:t>亚钾国际（代码：000893</w:t>
      </w:r>
      <w:r w:rsidR="00D04550">
        <w:rPr>
          <w:rFonts w:ascii="宋体" w:hAnsi="宋体" w:cs="宋体"/>
          <w:kern w:val="0"/>
          <w:sz w:val="24"/>
        </w:rPr>
        <w:t>.SZ</w:t>
      </w:r>
      <w:r w:rsidR="00D04550" w:rsidRPr="00D04550">
        <w:rPr>
          <w:rFonts w:ascii="宋体" w:hAnsi="宋体" w:cs="宋体" w:hint="eastAsia"/>
          <w:kern w:val="0"/>
          <w:sz w:val="24"/>
        </w:rPr>
        <w:t>）</w:t>
      </w:r>
      <w:r w:rsidRPr="00697FFD">
        <w:rPr>
          <w:rFonts w:ascii="宋体" w:hAnsi="宋体" w:cs="宋体" w:hint="eastAsia"/>
          <w:kern w:val="0"/>
          <w:sz w:val="24"/>
        </w:rPr>
        <w:t>非公开发行股票的公告</w:t>
      </w:r>
    </w:p>
    <w:p w:rsidR="002A2769" w:rsidRPr="00697FFD" w:rsidRDefault="002A2769" w:rsidP="002A2769">
      <w:pPr>
        <w:widowControl/>
        <w:spacing w:line="360" w:lineRule="auto"/>
        <w:rPr>
          <w:rFonts w:ascii="宋体" w:hAnsi="宋体" w:cs="宋体"/>
          <w:kern w:val="0"/>
          <w:sz w:val="24"/>
        </w:rPr>
      </w:pPr>
    </w:p>
    <w:p w:rsidR="002A2769" w:rsidRPr="00697FFD" w:rsidRDefault="002A2769" w:rsidP="002A2769">
      <w:pPr>
        <w:widowControl/>
        <w:spacing w:line="360" w:lineRule="auto"/>
        <w:ind w:firstLineChars="200" w:firstLine="480"/>
        <w:rPr>
          <w:rFonts w:ascii="宋体" w:hAnsi="宋体" w:cs="宋体"/>
          <w:kern w:val="0"/>
          <w:sz w:val="24"/>
        </w:rPr>
      </w:pPr>
      <w:r w:rsidRPr="00697FFD">
        <w:rPr>
          <w:rFonts w:ascii="宋体" w:hAnsi="宋体" w:cs="宋体" w:hint="eastAsia"/>
          <w:kern w:val="0"/>
          <w:sz w:val="24"/>
        </w:rPr>
        <w:t>根据中国证监会《关于基金投资非公开发行股票等流通受限证券有关问题的通知》的要求，景顺长城基金管理有限公司（以下简称“本公司”）旗下基金投资“</w:t>
      </w:r>
      <w:r w:rsidR="00D04550" w:rsidRPr="00D04550">
        <w:rPr>
          <w:rFonts w:ascii="宋体" w:hAnsi="宋体" w:cs="宋体" w:hint="eastAsia"/>
          <w:kern w:val="0"/>
          <w:sz w:val="24"/>
        </w:rPr>
        <w:t>亚钾国际</w:t>
      </w:r>
      <w:r w:rsidRPr="00697FFD">
        <w:rPr>
          <w:rFonts w:ascii="宋体" w:hAnsi="宋体" w:cs="宋体" w:hint="eastAsia"/>
          <w:kern w:val="0"/>
          <w:sz w:val="24"/>
        </w:rPr>
        <w:t>”非公开发行股票的有关情况公告如下：</w:t>
      </w:r>
    </w:p>
    <w:p w:rsidR="00915A40" w:rsidRPr="00697FFD" w:rsidRDefault="002A2769" w:rsidP="008A1C4B">
      <w:pPr>
        <w:widowControl/>
        <w:spacing w:line="360" w:lineRule="auto"/>
        <w:ind w:firstLineChars="200" w:firstLine="480"/>
        <w:rPr>
          <w:rFonts w:ascii="宋体" w:hAnsi="宋体" w:cs="宋体"/>
          <w:kern w:val="0"/>
          <w:sz w:val="24"/>
        </w:rPr>
      </w:pPr>
      <w:r w:rsidRPr="00697FFD">
        <w:rPr>
          <w:rFonts w:ascii="宋体" w:hAnsi="宋体" w:cs="宋体" w:hint="eastAsia"/>
          <w:kern w:val="0"/>
          <w:sz w:val="24"/>
        </w:rPr>
        <w:t>本公司旗下的</w:t>
      </w:r>
      <w:r w:rsidR="00D04550" w:rsidRPr="00D04550">
        <w:rPr>
          <w:rFonts w:ascii="宋体" w:hAnsi="宋体" w:cs="宋体" w:hint="eastAsia"/>
          <w:kern w:val="0"/>
          <w:sz w:val="24"/>
        </w:rPr>
        <w:t>景顺长城核心竞争力混合型证券投资基金</w:t>
      </w:r>
      <w:r w:rsidR="009A2F20" w:rsidRPr="004F660F">
        <w:rPr>
          <w:rFonts w:ascii="宋体" w:hAnsi="宋体" w:cs="宋体" w:hint="eastAsia"/>
          <w:kern w:val="0"/>
          <w:sz w:val="24"/>
        </w:rPr>
        <w:t>（基金代码：</w:t>
      </w:r>
      <w:r w:rsidR="00D04550">
        <w:rPr>
          <w:rFonts w:ascii="宋体" w:hAnsi="宋体" w:cs="宋体"/>
          <w:kern w:val="0"/>
          <w:sz w:val="24"/>
        </w:rPr>
        <w:t>260116</w:t>
      </w:r>
      <w:r w:rsidR="009A2F20" w:rsidRPr="004F660F">
        <w:rPr>
          <w:rFonts w:ascii="宋体" w:hAnsi="宋体" w:cs="宋体" w:hint="eastAsia"/>
          <w:kern w:val="0"/>
          <w:sz w:val="24"/>
        </w:rPr>
        <w:t>，以下简称“</w:t>
      </w:r>
      <w:r w:rsidR="00D04550" w:rsidRPr="00D04550">
        <w:rPr>
          <w:rFonts w:ascii="宋体" w:hAnsi="宋体" w:cs="宋体" w:hint="eastAsia"/>
          <w:kern w:val="0"/>
          <w:sz w:val="24"/>
        </w:rPr>
        <w:t>景顺长城核心竞争力</w:t>
      </w:r>
      <w:r w:rsidR="009A2F20" w:rsidRPr="004F660F">
        <w:rPr>
          <w:rFonts w:ascii="宋体" w:hAnsi="宋体" w:cs="宋体" w:hint="eastAsia"/>
          <w:kern w:val="0"/>
          <w:sz w:val="24"/>
        </w:rPr>
        <w:t>”）、</w:t>
      </w:r>
      <w:r w:rsidR="00D04550" w:rsidRPr="00D04550">
        <w:rPr>
          <w:rFonts w:ascii="宋体" w:hAnsi="宋体" w:cs="宋体" w:hint="eastAsia"/>
          <w:kern w:val="0"/>
          <w:sz w:val="24"/>
        </w:rPr>
        <w:t>景顺长城核心中景一年持有期混合型证券投资基金</w:t>
      </w:r>
      <w:r w:rsidR="009A2F20" w:rsidRPr="004F660F">
        <w:rPr>
          <w:rFonts w:ascii="宋体" w:hAnsi="宋体" w:cs="宋体" w:hint="eastAsia"/>
          <w:kern w:val="0"/>
          <w:sz w:val="24"/>
        </w:rPr>
        <w:t>（基金代码：</w:t>
      </w:r>
      <w:r w:rsidR="009A2F20" w:rsidRPr="008340BC">
        <w:rPr>
          <w:rFonts w:ascii="宋体" w:hAnsi="宋体" w:cs="宋体"/>
          <w:kern w:val="0"/>
          <w:sz w:val="24"/>
        </w:rPr>
        <w:t>0</w:t>
      </w:r>
      <w:r w:rsidR="00A80ABA">
        <w:rPr>
          <w:rFonts w:ascii="宋体" w:hAnsi="宋体" w:cs="宋体"/>
          <w:kern w:val="0"/>
          <w:sz w:val="24"/>
        </w:rPr>
        <w:t>10027</w:t>
      </w:r>
      <w:r w:rsidR="009A2F20" w:rsidRPr="004F660F">
        <w:rPr>
          <w:rFonts w:ascii="宋体" w:hAnsi="宋体" w:cs="宋体" w:hint="eastAsia"/>
          <w:kern w:val="0"/>
          <w:sz w:val="24"/>
        </w:rPr>
        <w:t>，以下简称“</w:t>
      </w:r>
      <w:r w:rsidR="00D04550" w:rsidRPr="00D04550">
        <w:rPr>
          <w:rFonts w:ascii="宋体" w:hAnsi="宋体" w:cs="宋体" w:hint="eastAsia"/>
          <w:kern w:val="0"/>
          <w:sz w:val="24"/>
        </w:rPr>
        <w:t>景顺长城核心中景</w:t>
      </w:r>
      <w:r w:rsidR="009A2F20" w:rsidRPr="004F660F">
        <w:rPr>
          <w:rFonts w:ascii="宋体" w:hAnsi="宋体" w:cs="宋体" w:hint="eastAsia"/>
          <w:kern w:val="0"/>
          <w:sz w:val="24"/>
        </w:rPr>
        <w:t>”）、</w:t>
      </w:r>
      <w:r w:rsidR="00A80ABA" w:rsidRPr="00A80ABA">
        <w:rPr>
          <w:rFonts w:ascii="宋体" w:hAnsi="宋体" w:cs="宋体" w:hint="eastAsia"/>
          <w:kern w:val="0"/>
          <w:sz w:val="24"/>
        </w:rPr>
        <w:t>景顺长城核心招景混合型证券投资基金</w:t>
      </w:r>
      <w:r w:rsidR="009A2F20" w:rsidRPr="004F660F">
        <w:rPr>
          <w:rFonts w:ascii="宋体" w:hAnsi="宋体" w:cs="宋体" w:hint="eastAsia"/>
          <w:kern w:val="0"/>
          <w:sz w:val="24"/>
        </w:rPr>
        <w:t>（基金代码：</w:t>
      </w:r>
      <w:r w:rsidR="009A2F20" w:rsidRPr="008340BC">
        <w:rPr>
          <w:rFonts w:ascii="宋体" w:hAnsi="宋体" w:cs="宋体"/>
          <w:kern w:val="0"/>
          <w:sz w:val="24"/>
        </w:rPr>
        <w:t>01</w:t>
      </w:r>
      <w:r w:rsidR="00A80ABA">
        <w:rPr>
          <w:rFonts w:ascii="宋体" w:hAnsi="宋体" w:cs="宋体"/>
          <w:kern w:val="0"/>
          <w:sz w:val="24"/>
        </w:rPr>
        <w:t>0108</w:t>
      </w:r>
      <w:r w:rsidR="009A2F20" w:rsidRPr="004F660F">
        <w:rPr>
          <w:rFonts w:ascii="宋体" w:hAnsi="宋体" w:cs="宋体" w:hint="eastAsia"/>
          <w:kern w:val="0"/>
          <w:sz w:val="24"/>
        </w:rPr>
        <w:t>，以下简称“</w:t>
      </w:r>
      <w:r w:rsidR="00A80ABA" w:rsidRPr="00A80ABA">
        <w:rPr>
          <w:rFonts w:ascii="宋体" w:hAnsi="宋体" w:cs="宋体" w:hint="eastAsia"/>
          <w:kern w:val="0"/>
          <w:sz w:val="24"/>
        </w:rPr>
        <w:t>景顺长城核心招景</w:t>
      </w:r>
      <w:r w:rsidR="009A2F20">
        <w:rPr>
          <w:rFonts w:ascii="宋体" w:hAnsi="宋体" w:cs="宋体" w:hint="eastAsia"/>
          <w:kern w:val="0"/>
          <w:sz w:val="24"/>
        </w:rPr>
        <w:t>”）</w:t>
      </w:r>
      <w:r w:rsidRPr="00697FFD">
        <w:rPr>
          <w:rFonts w:ascii="宋体" w:hAnsi="宋体" w:cs="宋体" w:hint="eastAsia"/>
          <w:kern w:val="0"/>
          <w:sz w:val="24"/>
        </w:rPr>
        <w:t>参加了</w:t>
      </w:r>
      <w:r w:rsidR="00D04550" w:rsidRPr="00D04550">
        <w:rPr>
          <w:rFonts w:ascii="宋体" w:hAnsi="宋体" w:cs="宋体" w:hint="eastAsia"/>
          <w:kern w:val="0"/>
          <w:sz w:val="24"/>
        </w:rPr>
        <w:t>亚钾国际（代码：000893.SZ）</w:t>
      </w:r>
      <w:r w:rsidRPr="00697FFD">
        <w:rPr>
          <w:rFonts w:ascii="宋体" w:hAnsi="宋体" w:cs="宋体" w:hint="eastAsia"/>
          <w:kern w:val="0"/>
          <w:sz w:val="24"/>
        </w:rPr>
        <w:t>非公开发行股票的定向增发。</w:t>
      </w:r>
      <w:r w:rsidR="007D41E3" w:rsidRPr="007D41E3">
        <w:rPr>
          <w:rFonts w:ascii="宋体" w:hAnsi="宋体" w:cs="宋体" w:hint="eastAsia"/>
          <w:kern w:val="0"/>
          <w:sz w:val="24"/>
        </w:rPr>
        <w:t>亚钾国际投资（广州）股份有限公司</w:t>
      </w:r>
      <w:r w:rsidR="00915A40" w:rsidRPr="00697FFD">
        <w:rPr>
          <w:rFonts w:ascii="宋体" w:hAnsi="宋体" w:cs="宋体" w:hint="eastAsia"/>
          <w:kern w:val="0"/>
          <w:sz w:val="24"/>
        </w:rPr>
        <w:t>已发布了《</w:t>
      </w:r>
      <w:r w:rsidR="008A1C4B" w:rsidRPr="008A1C4B">
        <w:rPr>
          <w:rFonts w:ascii="宋体" w:hAnsi="宋体" w:cs="宋体" w:hint="eastAsia"/>
          <w:kern w:val="0"/>
          <w:sz w:val="24"/>
        </w:rPr>
        <w:t>亚钾国际投资（广州）股份有限公司发行股份及支付现金购买资产并募集配套资金暨关联交易实施情况暨新增股份上市公告书摘要</w:t>
      </w:r>
      <w:r w:rsidR="00915A40" w:rsidRPr="00697FFD">
        <w:rPr>
          <w:rFonts w:ascii="宋体" w:hAnsi="宋体" w:cs="宋体" w:hint="eastAsia"/>
          <w:kern w:val="0"/>
          <w:sz w:val="24"/>
        </w:rPr>
        <w:t>》，公布了本次非公开发行结果。</w:t>
      </w:r>
    </w:p>
    <w:p w:rsidR="002A2769" w:rsidRPr="00697FFD" w:rsidRDefault="002A2769" w:rsidP="002A2769">
      <w:pPr>
        <w:widowControl/>
        <w:spacing w:line="360" w:lineRule="auto"/>
        <w:ind w:firstLineChars="200" w:firstLine="480"/>
        <w:rPr>
          <w:rFonts w:ascii="宋体" w:hAnsi="宋体" w:cs="宋体"/>
          <w:kern w:val="0"/>
          <w:sz w:val="24"/>
        </w:rPr>
      </w:pPr>
      <w:r w:rsidRPr="00697FFD">
        <w:rPr>
          <w:rFonts w:ascii="宋体" w:hAnsi="宋体" w:cs="宋体" w:hint="eastAsia"/>
          <w:kern w:val="0"/>
          <w:sz w:val="24"/>
        </w:rPr>
        <w:t>截至</w:t>
      </w:r>
      <w:r w:rsidR="00915A40" w:rsidRPr="00697FFD">
        <w:rPr>
          <w:rFonts w:ascii="宋体" w:hAnsi="宋体" w:cs="宋体" w:hint="eastAsia"/>
          <w:kern w:val="0"/>
          <w:sz w:val="24"/>
        </w:rPr>
        <w:t>2</w:t>
      </w:r>
      <w:r w:rsidR="00915A40" w:rsidRPr="00697FFD">
        <w:rPr>
          <w:rFonts w:ascii="宋体" w:hAnsi="宋体" w:cs="宋体"/>
          <w:kern w:val="0"/>
          <w:sz w:val="24"/>
        </w:rPr>
        <w:t>02</w:t>
      </w:r>
      <w:r w:rsidR="006226C9" w:rsidRPr="00697FFD">
        <w:rPr>
          <w:rFonts w:ascii="宋体" w:hAnsi="宋体" w:cs="宋体"/>
          <w:kern w:val="0"/>
          <w:sz w:val="24"/>
        </w:rPr>
        <w:t>2</w:t>
      </w:r>
      <w:r w:rsidR="00915A40" w:rsidRPr="00697FFD">
        <w:rPr>
          <w:rFonts w:ascii="宋体" w:hAnsi="宋体" w:cs="宋体" w:hint="eastAsia"/>
          <w:kern w:val="0"/>
          <w:sz w:val="24"/>
        </w:rPr>
        <w:t>年</w:t>
      </w:r>
      <w:r w:rsidR="0003262D">
        <w:rPr>
          <w:rFonts w:ascii="宋体" w:hAnsi="宋体" w:cs="宋体"/>
          <w:kern w:val="0"/>
          <w:sz w:val="24"/>
        </w:rPr>
        <w:t>8</w:t>
      </w:r>
      <w:r w:rsidR="00915A40" w:rsidRPr="00697FFD">
        <w:rPr>
          <w:rFonts w:ascii="宋体" w:hAnsi="宋体" w:cs="宋体" w:hint="eastAsia"/>
          <w:kern w:val="0"/>
          <w:sz w:val="24"/>
        </w:rPr>
        <w:t>月</w:t>
      </w:r>
      <w:r w:rsidR="008A1C4B">
        <w:rPr>
          <w:rFonts w:ascii="宋体" w:hAnsi="宋体" w:cs="宋体"/>
          <w:kern w:val="0"/>
          <w:sz w:val="24"/>
        </w:rPr>
        <w:t>16</w:t>
      </w:r>
      <w:r w:rsidRPr="00697FFD">
        <w:rPr>
          <w:rFonts w:ascii="宋体" w:hAnsi="宋体" w:cs="宋体" w:hint="eastAsia"/>
          <w:kern w:val="0"/>
          <w:sz w:val="24"/>
        </w:rPr>
        <w:t>日，</w:t>
      </w:r>
      <w:r w:rsidR="00E21922" w:rsidRPr="00697FFD">
        <w:rPr>
          <w:rFonts w:ascii="宋体" w:hAnsi="宋体" w:cs="宋体" w:hint="eastAsia"/>
          <w:kern w:val="0"/>
          <w:sz w:val="24"/>
        </w:rPr>
        <w:t>上述</w:t>
      </w:r>
      <w:r w:rsidR="00A75851" w:rsidRPr="00697FFD">
        <w:rPr>
          <w:rFonts w:ascii="宋体" w:hAnsi="宋体" w:cs="宋体" w:hint="eastAsia"/>
          <w:kern w:val="0"/>
          <w:sz w:val="24"/>
        </w:rPr>
        <w:t>基金</w:t>
      </w:r>
      <w:r w:rsidR="00E10CA5" w:rsidRPr="00697FFD">
        <w:rPr>
          <w:rFonts w:ascii="宋体" w:hAnsi="宋体" w:cs="宋体" w:hint="eastAsia"/>
          <w:kern w:val="0"/>
          <w:sz w:val="24"/>
        </w:rPr>
        <w:t>参与</w:t>
      </w:r>
      <w:r w:rsidRPr="00697FFD">
        <w:rPr>
          <w:rFonts w:ascii="宋体" w:hAnsi="宋体" w:cs="宋体" w:hint="eastAsia"/>
          <w:kern w:val="0"/>
          <w:sz w:val="24"/>
        </w:rPr>
        <w:t xml:space="preserve">本次非公开发行股票情况如下： </w:t>
      </w:r>
    </w:p>
    <w:tbl>
      <w:tblPr>
        <w:tblW w:w="5083" w:type="pct"/>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1175"/>
        <w:gridCol w:w="1174"/>
        <w:gridCol w:w="1422"/>
        <w:gridCol w:w="991"/>
        <w:gridCol w:w="1229"/>
        <w:gridCol w:w="1176"/>
        <w:gridCol w:w="1307"/>
      </w:tblGrid>
      <w:tr w:rsidR="002A2769" w:rsidRPr="00697FFD" w:rsidTr="00A539C3">
        <w:trPr>
          <w:tblCellSpacing w:w="0" w:type="dxa"/>
          <w:jc w:val="center"/>
        </w:trPr>
        <w:tc>
          <w:tcPr>
            <w:tcW w:w="693" w:type="pct"/>
            <w:tcBorders>
              <w:top w:val="single" w:sz="6" w:space="0" w:color="auto"/>
              <w:left w:val="single" w:sz="6" w:space="0" w:color="auto"/>
              <w:bottom w:val="single" w:sz="6" w:space="0" w:color="auto"/>
              <w:right w:val="single" w:sz="6" w:space="0" w:color="auto"/>
            </w:tcBorders>
            <w:vAlign w:val="center"/>
            <w:hideMark/>
          </w:tcPr>
          <w:p w:rsidR="002A2769" w:rsidRPr="00697FFD" w:rsidRDefault="002A2769">
            <w:pPr>
              <w:widowControl/>
              <w:jc w:val="center"/>
              <w:rPr>
                <w:rFonts w:ascii="宋体" w:hAnsi="宋体" w:cs="宋体"/>
                <w:kern w:val="0"/>
                <w:sz w:val="24"/>
              </w:rPr>
            </w:pPr>
            <w:r w:rsidRPr="00697FFD">
              <w:rPr>
                <w:rFonts w:ascii="宋体" w:hAnsi="宋体" w:cs="宋体" w:hint="eastAsia"/>
                <w:kern w:val="0"/>
                <w:sz w:val="24"/>
              </w:rPr>
              <w:t>基金名称</w:t>
            </w:r>
          </w:p>
        </w:tc>
        <w:tc>
          <w:tcPr>
            <w:tcW w:w="693" w:type="pct"/>
            <w:tcBorders>
              <w:top w:val="single" w:sz="6" w:space="0" w:color="auto"/>
              <w:left w:val="single" w:sz="6" w:space="0" w:color="auto"/>
              <w:bottom w:val="single" w:sz="6" w:space="0" w:color="auto"/>
              <w:right w:val="single" w:sz="6" w:space="0" w:color="auto"/>
            </w:tcBorders>
            <w:vAlign w:val="center"/>
            <w:hideMark/>
          </w:tcPr>
          <w:p w:rsidR="002A2769" w:rsidRPr="00697FFD" w:rsidRDefault="002A2769">
            <w:pPr>
              <w:widowControl/>
              <w:jc w:val="center"/>
              <w:rPr>
                <w:rFonts w:ascii="宋体" w:hAnsi="宋体" w:cs="宋体"/>
                <w:kern w:val="0"/>
                <w:sz w:val="24"/>
              </w:rPr>
            </w:pPr>
            <w:r w:rsidRPr="00697FFD">
              <w:rPr>
                <w:rFonts w:ascii="宋体" w:hAnsi="宋体" w:cs="宋体" w:hint="eastAsia"/>
                <w:kern w:val="0"/>
                <w:sz w:val="24"/>
              </w:rPr>
              <w:t xml:space="preserve">认购数量 （股） </w:t>
            </w:r>
          </w:p>
        </w:tc>
        <w:tc>
          <w:tcPr>
            <w:tcW w:w="839" w:type="pct"/>
            <w:tcBorders>
              <w:top w:val="single" w:sz="6" w:space="0" w:color="auto"/>
              <w:left w:val="single" w:sz="6" w:space="0" w:color="auto"/>
              <w:bottom w:val="single" w:sz="6" w:space="0" w:color="auto"/>
              <w:right w:val="single" w:sz="6" w:space="0" w:color="auto"/>
            </w:tcBorders>
            <w:vAlign w:val="center"/>
            <w:hideMark/>
          </w:tcPr>
          <w:p w:rsidR="002A2769" w:rsidRPr="00697FFD" w:rsidRDefault="002A2769">
            <w:pPr>
              <w:widowControl/>
              <w:jc w:val="center"/>
              <w:rPr>
                <w:rFonts w:ascii="宋体" w:hAnsi="宋体" w:cs="宋体"/>
                <w:kern w:val="0"/>
                <w:sz w:val="24"/>
              </w:rPr>
            </w:pPr>
            <w:r w:rsidRPr="00697FFD">
              <w:rPr>
                <w:rFonts w:ascii="宋体" w:hAnsi="宋体" w:cs="宋体" w:hint="eastAsia"/>
                <w:kern w:val="0"/>
                <w:sz w:val="24"/>
              </w:rPr>
              <w:t xml:space="preserve">总成本 （元） </w:t>
            </w:r>
          </w:p>
        </w:tc>
        <w:tc>
          <w:tcPr>
            <w:tcW w:w="585" w:type="pct"/>
            <w:tcBorders>
              <w:top w:val="single" w:sz="6" w:space="0" w:color="auto"/>
              <w:left w:val="single" w:sz="6" w:space="0" w:color="auto"/>
              <w:bottom w:val="single" w:sz="6" w:space="0" w:color="auto"/>
              <w:right w:val="single" w:sz="6" w:space="0" w:color="auto"/>
            </w:tcBorders>
            <w:vAlign w:val="center"/>
            <w:hideMark/>
          </w:tcPr>
          <w:p w:rsidR="002A2769" w:rsidRPr="00697FFD" w:rsidRDefault="002A2769">
            <w:pPr>
              <w:widowControl/>
              <w:jc w:val="center"/>
              <w:rPr>
                <w:rFonts w:ascii="宋体" w:hAnsi="宋体" w:cs="宋体"/>
                <w:kern w:val="0"/>
                <w:sz w:val="24"/>
              </w:rPr>
            </w:pPr>
            <w:r w:rsidRPr="00697FFD">
              <w:rPr>
                <w:rFonts w:ascii="宋体" w:hAnsi="宋体" w:cs="宋体" w:hint="eastAsia"/>
                <w:kern w:val="0"/>
                <w:sz w:val="24"/>
              </w:rPr>
              <w:t>总成本占基金资产净值的比例</w:t>
            </w:r>
          </w:p>
        </w:tc>
        <w:tc>
          <w:tcPr>
            <w:tcW w:w="725" w:type="pct"/>
            <w:tcBorders>
              <w:top w:val="single" w:sz="6" w:space="0" w:color="auto"/>
              <w:left w:val="single" w:sz="6" w:space="0" w:color="auto"/>
              <w:bottom w:val="single" w:sz="6" w:space="0" w:color="auto"/>
              <w:right w:val="single" w:sz="6" w:space="0" w:color="auto"/>
            </w:tcBorders>
            <w:vAlign w:val="center"/>
            <w:hideMark/>
          </w:tcPr>
          <w:p w:rsidR="002A2769" w:rsidRPr="00697FFD" w:rsidRDefault="002A2769">
            <w:pPr>
              <w:widowControl/>
              <w:jc w:val="center"/>
              <w:rPr>
                <w:rFonts w:ascii="宋体" w:hAnsi="宋体" w:cs="宋体"/>
                <w:kern w:val="0"/>
                <w:sz w:val="24"/>
              </w:rPr>
            </w:pPr>
            <w:r w:rsidRPr="00697FFD">
              <w:rPr>
                <w:rFonts w:ascii="宋体" w:hAnsi="宋体" w:cs="宋体" w:hint="eastAsia"/>
                <w:kern w:val="0"/>
                <w:sz w:val="24"/>
              </w:rPr>
              <w:t xml:space="preserve">账面价值 （万元） </w:t>
            </w:r>
          </w:p>
        </w:tc>
        <w:tc>
          <w:tcPr>
            <w:tcW w:w="694" w:type="pct"/>
            <w:tcBorders>
              <w:top w:val="single" w:sz="6" w:space="0" w:color="auto"/>
              <w:left w:val="single" w:sz="6" w:space="0" w:color="auto"/>
              <w:bottom w:val="single" w:sz="6" w:space="0" w:color="auto"/>
              <w:right w:val="single" w:sz="6" w:space="0" w:color="auto"/>
            </w:tcBorders>
            <w:vAlign w:val="center"/>
            <w:hideMark/>
          </w:tcPr>
          <w:p w:rsidR="002A2769" w:rsidRPr="00697FFD" w:rsidRDefault="002A2769">
            <w:pPr>
              <w:widowControl/>
              <w:jc w:val="center"/>
              <w:rPr>
                <w:rFonts w:ascii="宋体" w:hAnsi="宋体" w:cs="宋体"/>
                <w:kern w:val="0"/>
                <w:sz w:val="24"/>
              </w:rPr>
            </w:pPr>
            <w:r w:rsidRPr="00697FFD">
              <w:rPr>
                <w:rFonts w:ascii="宋体" w:hAnsi="宋体" w:cs="宋体" w:hint="eastAsia"/>
                <w:kern w:val="0"/>
                <w:sz w:val="24"/>
              </w:rPr>
              <w:t>账面价值占基金资产净值的比例</w:t>
            </w:r>
          </w:p>
        </w:tc>
        <w:tc>
          <w:tcPr>
            <w:tcW w:w="771" w:type="pct"/>
            <w:tcBorders>
              <w:top w:val="single" w:sz="6" w:space="0" w:color="auto"/>
              <w:left w:val="single" w:sz="6" w:space="0" w:color="auto"/>
              <w:bottom w:val="single" w:sz="6" w:space="0" w:color="auto"/>
              <w:right w:val="single" w:sz="6" w:space="0" w:color="auto"/>
            </w:tcBorders>
            <w:vAlign w:val="center"/>
            <w:hideMark/>
          </w:tcPr>
          <w:p w:rsidR="002A2769" w:rsidRPr="00697FFD" w:rsidRDefault="002A2769">
            <w:pPr>
              <w:widowControl/>
              <w:jc w:val="center"/>
              <w:rPr>
                <w:rFonts w:ascii="宋体" w:hAnsi="宋体" w:cs="宋体"/>
                <w:kern w:val="0"/>
                <w:sz w:val="24"/>
              </w:rPr>
            </w:pPr>
            <w:r w:rsidRPr="00697FFD">
              <w:rPr>
                <w:rFonts w:ascii="宋体" w:hAnsi="宋体" w:cs="宋体" w:hint="eastAsia"/>
                <w:kern w:val="0"/>
                <w:sz w:val="24"/>
              </w:rPr>
              <w:t>锁定期</w:t>
            </w:r>
          </w:p>
        </w:tc>
      </w:tr>
      <w:tr w:rsidR="00D04550" w:rsidRPr="00697FFD" w:rsidTr="00A539C3">
        <w:trPr>
          <w:tblCellSpacing w:w="0" w:type="dxa"/>
          <w:jc w:val="center"/>
        </w:trPr>
        <w:tc>
          <w:tcPr>
            <w:tcW w:w="693" w:type="pct"/>
            <w:tcBorders>
              <w:top w:val="single" w:sz="6" w:space="0" w:color="auto"/>
              <w:left w:val="single" w:sz="6" w:space="0" w:color="auto"/>
              <w:bottom w:val="single" w:sz="6" w:space="0" w:color="auto"/>
              <w:right w:val="single" w:sz="6" w:space="0" w:color="auto"/>
            </w:tcBorders>
            <w:vAlign w:val="center"/>
            <w:hideMark/>
          </w:tcPr>
          <w:p w:rsidR="00D04550" w:rsidRPr="00697FFD" w:rsidRDefault="00D04550" w:rsidP="00D04550">
            <w:pPr>
              <w:widowControl/>
              <w:jc w:val="center"/>
              <w:rPr>
                <w:rFonts w:ascii="宋体" w:hAnsi="宋体" w:cs="宋体"/>
                <w:kern w:val="0"/>
                <w:sz w:val="24"/>
              </w:rPr>
            </w:pPr>
            <w:r w:rsidRPr="008340BC">
              <w:rPr>
                <w:rFonts w:ascii="宋体" w:hAnsi="宋体" w:cs="宋体" w:hint="eastAsia"/>
                <w:kern w:val="0"/>
                <w:sz w:val="24"/>
              </w:rPr>
              <w:t>景顺长城</w:t>
            </w:r>
            <w:r w:rsidRPr="00D04550">
              <w:rPr>
                <w:rFonts w:ascii="宋体" w:hAnsi="宋体" w:cs="宋体" w:hint="eastAsia"/>
                <w:kern w:val="0"/>
                <w:sz w:val="24"/>
              </w:rPr>
              <w:t>核心竞争力</w:t>
            </w:r>
          </w:p>
        </w:tc>
        <w:tc>
          <w:tcPr>
            <w:tcW w:w="693" w:type="pct"/>
            <w:tcBorders>
              <w:top w:val="single" w:sz="6" w:space="0" w:color="auto"/>
              <w:left w:val="single" w:sz="6" w:space="0" w:color="auto"/>
              <w:bottom w:val="single" w:sz="6" w:space="0" w:color="auto"/>
              <w:right w:val="single" w:sz="6" w:space="0" w:color="auto"/>
            </w:tcBorders>
            <w:vAlign w:val="center"/>
          </w:tcPr>
          <w:p w:rsidR="00D04550" w:rsidRPr="009A2F20" w:rsidRDefault="00D04550" w:rsidP="00D04550">
            <w:pPr>
              <w:jc w:val="center"/>
              <w:rPr>
                <w:sz w:val="18"/>
              </w:rPr>
            </w:pPr>
            <w:r w:rsidRPr="00D04550">
              <w:rPr>
                <w:rFonts w:ascii="Arial Unicode MS" w:eastAsia="Arial Unicode MS" w:hAnsi="Arial Unicode MS" w:cs="Arial Unicode MS" w:hint="eastAsia"/>
                <w:kern w:val="0"/>
                <w:sz w:val="20"/>
                <w:szCs w:val="20"/>
              </w:rPr>
              <w:t xml:space="preserve">473,934 </w:t>
            </w:r>
          </w:p>
        </w:tc>
        <w:tc>
          <w:tcPr>
            <w:tcW w:w="839" w:type="pct"/>
            <w:tcBorders>
              <w:top w:val="single" w:sz="6" w:space="0" w:color="auto"/>
              <w:left w:val="single" w:sz="6" w:space="0" w:color="auto"/>
              <w:bottom w:val="single" w:sz="6" w:space="0" w:color="auto"/>
              <w:right w:val="single" w:sz="6" w:space="0" w:color="auto"/>
            </w:tcBorders>
            <w:vAlign w:val="center"/>
          </w:tcPr>
          <w:p w:rsidR="00D04550" w:rsidRPr="009A2F20" w:rsidRDefault="00D04550" w:rsidP="00D04550">
            <w:pPr>
              <w:jc w:val="center"/>
              <w:rPr>
                <w:sz w:val="18"/>
              </w:rPr>
            </w:pPr>
            <w:r w:rsidRPr="00D04550">
              <w:rPr>
                <w:rFonts w:ascii="Arial" w:hAnsi="Arial" w:cs="Arial"/>
                <w:kern w:val="0"/>
                <w:sz w:val="20"/>
                <w:szCs w:val="20"/>
              </w:rPr>
              <w:t>15,000,011.10</w:t>
            </w:r>
          </w:p>
        </w:tc>
        <w:tc>
          <w:tcPr>
            <w:tcW w:w="585" w:type="pct"/>
            <w:tcBorders>
              <w:top w:val="single" w:sz="6" w:space="0" w:color="auto"/>
              <w:left w:val="single" w:sz="6" w:space="0" w:color="auto"/>
              <w:bottom w:val="single" w:sz="6" w:space="0" w:color="auto"/>
              <w:right w:val="single" w:sz="6" w:space="0" w:color="auto"/>
            </w:tcBorders>
            <w:vAlign w:val="center"/>
          </w:tcPr>
          <w:p w:rsidR="00D04550" w:rsidRPr="00697FFD" w:rsidRDefault="00AB0933" w:rsidP="00D04550">
            <w:pPr>
              <w:widowControl/>
              <w:jc w:val="center"/>
            </w:pPr>
            <w:r>
              <w:rPr>
                <w:rFonts w:hint="eastAsia"/>
              </w:rPr>
              <w:t>0.94%</w:t>
            </w:r>
          </w:p>
        </w:tc>
        <w:tc>
          <w:tcPr>
            <w:tcW w:w="725" w:type="pct"/>
            <w:tcBorders>
              <w:top w:val="single" w:sz="6" w:space="0" w:color="auto"/>
              <w:left w:val="single" w:sz="6" w:space="0" w:color="auto"/>
              <w:bottom w:val="single" w:sz="6" w:space="0" w:color="auto"/>
              <w:right w:val="single" w:sz="6" w:space="0" w:color="auto"/>
            </w:tcBorders>
            <w:vAlign w:val="center"/>
          </w:tcPr>
          <w:p w:rsidR="00D04550" w:rsidRPr="00697FFD" w:rsidRDefault="00AB0933" w:rsidP="00D04550">
            <w:pPr>
              <w:widowControl/>
              <w:jc w:val="center"/>
            </w:pPr>
            <w:r>
              <w:rPr>
                <w:rFonts w:hint="eastAsia"/>
              </w:rPr>
              <w:t>1,477.73</w:t>
            </w:r>
          </w:p>
        </w:tc>
        <w:tc>
          <w:tcPr>
            <w:tcW w:w="694" w:type="pct"/>
            <w:tcBorders>
              <w:top w:val="single" w:sz="6" w:space="0" w:color="auto"/>
              <w:left w:val="single" w:sz="6" w:space="0" w:color="auto"/>
              <w:bottom w:val="single" w:sz="6" w:space="0" w:color="auto"/>
              <w:right w:val="single" w:sz="6" w:space="0" w:color="auto"/>
            </w:tcBorders>
            <w:vAlign w:val="center"/>
          </w:tcPr>
          <w:p w:rsidR="00D04550" w:rsidRPr="00697FFD" w:rsidRDefault="00AB0933" w:rsidP="00D04550">
            <w:pPr>
              <w:widowControl/>
              <w:jc w:val="center"/>
            </w:pPr>
            <w:r>
              <w:rPr>
                <w:rFonts w:hint="eastAsia"/>
              </w:rPr>
              <w:t>0.92%</w:t>
            </w:r>
          </w:p>
        </w:tc>
        <w:tc>
          <w:tcPr>
            <w:tcW w:w="771" w:type="pct"/>
            <w:tcBorders>
              <w:top w:val="single" w:sz="6" w:space="0" w:color="auto"/>
              <w:left w:val="single" w:sz="6" w:space="0" w:color="auto"/>
              <w:bottom w:val="single" w:sz="6" w:space="0" w:color="auto"/>
              <w:right w:val="single" w:sz="6" w:space="0" w:color="auto"/>
            </w:tcBorders>
            <w:vAlign w:val="center"/>
            <w:hideMark/>
          </w:tcPr>
          <w:p w:rsidR="00D04550" w:rsidRPr="00697FFD" w:rsidRDefault="00D04550" w:rsidP="00D04550">
            <w:pPr>
              <w:widowControl/>
              <w:jc w:val="center"/>
            </w:pPr>
            <w:r w:rsidRPr="00697FFD">
              <w:t>6</w:t>
            </w:r>
            <w:r w:rsidRPr="00697FFD">
              <w:t>个月</w:t>
            </w:r>
          </w:p>
        </w:tc>
      </w:tr>
      <w:tr w:rsidR="00D04550" w:rsidRPr="00697FFD" w:rsidTr="00A539C3">
        <w:trPr>
          <w:tblCellSpacing w:w="0" w:type="dxa"/>
          <w:jc w:val="center"/>
        </w:trPr>
        <w:tc>
          <w:tcPr>
            <w:tcW w:w="693" w:type="pct"/>
            <w:tcBorders>
              <w:top w:val="single" w:sz="6" w:space="0" w:color="auto"/>
              <w:left w:val="single" w:sz="6" w:space="0" w:color="auto"/>
              <w:bottom w:val="single" w:sz="6" w:space="0" w:color="auto"/>
              <w:right w:val="single" w:sz="6" w:space="0" w:color="auto"/>
            </w:tcBorders>
            <w:vAlign w:val="center"/>
          </w:tcPr>
          <w:p w:rsidR="00D04550" w:rsidRPr="00697FFD" w:rsidRDefault="00D04550" w:rsidP="00D04550">
            <w:pPr>
              <w:widowControl/>
              <w:jc w:val="center"/>
              <w:rPr>
                <w:rFonts w:ascii="宋体" w:hAnsi="宋体" w:cs="宋体"/>
                <w:kern w:val="0"/>
                <w:sz w:val="24"/>
              </w:rPr>
            </w:pPr>
            <w:r w:rsidRPr="008340BC">
              <w:rPr>
                <w:rFonts w:ascii="宋体" w:hAnsi="宋体" w:cs="宋体" w:hint="eastAsia"/>
                <w:kern w:val="0"/>
                <w:sz w:val="24"/>
              </w:rPr>
              <w:t>景顺长城</w:t>
            </w:r>
            <w:r w:rsidRPr="00D04550">
              <w:rPr>
                <w:rFonts w:ascii="宋体" w:hAnsi="宋体" w:cs="宋体" w:hint="eastAsia"/>
                <w:kern w:val="0"/>
                <w:sz w:val="24"/>
              </w:rPr>
              <w:t>核心中景</w:t>
            </w:r>
          </w:p>
        </w:tc>
        <w:tc>
          <w:tcPr>
            <w:tcW w:w="693" w:type="pct"/>
            <w:tcBorders>
              <w:top w:val="single" w:sz="6" w:space="0" w:color="auto"/>
              <w:left w:val="single" w:sz="6" w:space="0" w:color="auto"/>
              <w:bottom w:val="single" w:sz="6" w:space="0" w:color="auto"/>
              <w:right w:val="single" w:sz="6" w:space="0" w:color="auto"/>
            </w:tcBorders>
            <w:vAlign w:val="center"/>
          </w:tcPr>
          <w:p w:rsidR="00D04550" w:rsidRPr="009A2F20" w:rsidRDefault="00D04550" w:rsidP="00D04550">
            <w:pPr>
              <w:jc w:val="center"/>
              <w:rPr>
                <w:sz w:val="18"/>
              </w:rPr>
            </w:pPr>
            <w:r w:rsidRPr="00D04550">
              <w:rPr>
                <w:rFonts w:ascii="Arial Unicode MS" w:eastAsia="Arial Unicode MS" w:hAnsi="Arial Unicode MS" w:cs="Arial Unicode MS" w:hint="eastAsia"/>
                <w:kern w:val="0"/>
                <w:sz w:val="20"/>
                <w:szCs w:val="20"/>
              </w:rPr>
              <w:t xml:space="preserve">1,895,734 </w:t>
            </w:r>
          </w:p>
        </w:tc>
        <w:tc>
          <w:tcPr>
            <w:tcW w:w="839" w:type="pct"/>
            <w:tcBorders>
              <w:top w:val="single" w:sz="6" w:space="0" w:color="auto"/>
              <w:left w:val="single" w:sz="6" w:space="0" w:color="auto"/>
              <w:bottom w:val="single" w:sz="6" w:space="0" w:color="auto"/>
              <w:right w:val="single" w:sz="6" w:space="0" w:color="auto"/>
            </w:tcBorders>
            <w:vAlign w:val="center"/>
          </w:tcPr>
          <w:p w:rsidR="00D04550" w:rsidRPr="009A2F20" w:rsidRDefault="00D04550" w:rsidP="00D04550">
            <w:pPr>
              <w:jc w:val="center"/>
              <w:rPr>
                <w:sz w:val="18"/>
              </w:rPr>
            </w:pPr>
            <w:r w:rsidRPr="00D04550">
              <w:rPr>
                <w:rFonts w:ascii="Arial" w:hAnsi="Arial" w:cs="Arial"/>
                <w:kern w:val="0"/>
                <w:sz w:val="20"/>
                <w:szCs w:val="20"/>
              </w:rPr>
              <w:t>59,999,981.10</w:t>
            </w:r>
          </w:p>
        </w:tc>
        <w:tc>
          <w:tcPr>
            <w:tcW w:w="585" w:type="pct"/>
            <w:tcBorders>
              <w:top w:val="single" w:sz="6" w:space="0" w:color="auto"/>
              <w:left w:val="single" w:sz="6" w:space="0" w:color="auto"/>
              <w:bottom w:val="single" w:sz="6" w:space="0" w:color="auto"/>
              <w:right w:val="single" w:sz="6" w:space="0" w:color="auto"/>
            </w:tcBorders>
            <w:vAlign w:val="center"/>
          </w:tcPr>
          <w:p w:rsidR="00D04550" w:rsidRPr="00697FFD" w:rsidRDefault="00AB0933" w:rsidP="00D04550">
            <w:pPr>
              <w:widowControl/>
              <w:jc w:val="center"/>
            </w:pPr>
            <w:r>
              <w:rPr>
                <w:rFonts w:hint="eastAsia"/>
              </w:rPr>
              <w:t>1.12%</w:t>
            </w:r>
          </w:p>
        </w:tc>
        <w:tc>
          <w:tcPr>
            <w:tcW w:w="725" w:type="pct"/>
            <w:tcBorders>
              <w:top w:val="single" w:sz="6" w:space="0" w:color="auto"/>
              <w:left w:val="single" w:sz="6" w:space="0" w:color="auto"/>
              <w:bottom w:val="single" w:sz="6" w:space="0" w:color="auto"/>
              <w:right w:val="single" w:sz="6" w:space="0" w:color="auto"/>
            </w:tcBorders>
            <w:vAlign w:val="center"/>
          </w:tcPr>
          <w:p w:rsidR="00D04550" w:rsidRPr="00697FFD" w:rsidRDefault="00AB0933" w:rsidP="00D04550">
            <w:pPr>
              <w:widowControl/>
              <w:jc w:val="center"/>
            </w:pPr>
            <w:r>
              <w:rPr>
                <w:rFonts w:hint="eastAsia"/>
              </w:rPr>
              <w:t>5,910.90</w:t>
            </w:r>
          </w:p>
        </w:tc>
        <w:tc>
          <w:tcPr>
            <w:tcW w:w="694" w:type="pct"/>
            <w:tcBorders>
              <w:top w:val="single" w:sz="6" w:space="0" w:color="auto"/>
              <w:left w:val="single" w:sz="6" w:space="0" w:color="auto"/>
              <w:bottom w:val="single" w:sz="6" w:space="0" w:color="auto"/>
              <w:right w:val="single" w:sz="6" w:space="0" w:color="auto"/>
            </w:tcBorders>
            <w:vAlign w:val="center"/>
          </w:tcPr>
          <w:p w:rsidR="00D04550" w:rsidRPr="00697FFD" w:rsidRDefault="00AB0933" w:rsidP="00D04550">
            <w:pPr>
              <w:widowControl/>
              <w:jc w:val="center"/>
            </w:pPr>
            <w:r>
              <w:rPr>
                <w:rFonts w:hint="eastAsia"/>
              </w:rPr>
              <w:t>1.10%</w:t>
            </w:r>
          </w:p>
        </w:tc>
        <w:tc>
          <w:tcPr>
            <w:tcW w:w="771" w:type="pct"/>
            <w:tcBorders>
              <w:top w:val="single" w:sz="6" w:space="0" w:color="auto"/>
              <w:left w:val="single" w:sz="6" w:space="0" w:color="auto"/>
              <w:bottom w:val="single" w:sz="6" w:space="0" w:color="auto"/>
              <w:right w:val="single" w:sz="6" w:space="0" w:color="auto"/>
            </w:tcBorders>
            <w:vAlign w:val="center"/>
          </w:tcPr>
          <w:p w:rsidR="00D04550" w:rsidRPr="00697FFD" w:rsidRDefault="00D04550" w:rsidP="00D04550">
            <w:pPr>
              <w:widowControl/>
              <w:jc w:val="center"/>
            </w:pPr>
            <w:r w:rsidRPr="00697FFD">
              <w:t>6</w:t>
            </w:r>
            <w:r w:rsidRPr="00697FFD">
              <w:t>个月</w:t>
            </w:r>
          </w:p>
        </w:tc>
      </w:tr>
      <w:tr w:rsidR="00D04550" w:rsidRPr="00697FFD" w:rsidTr="00A539C3">
        <w:trPr>
          <w:tblCellSpacing w:w="0" w:type="dxa"/>
          <w:jc w:val="center"/>
        </w:trPr>
        <w:tc>
          <w:tcPr>
            <w:tcW w:w="693" w:type="pct"/>
            <w:tcBorders>
              <w:top w:val="single" w:sz="6" w:space="0" w:color="auto"/>
              <w:left w:val="single" w:sz="6" w:space="0" w:color="auto"/>
              <w:bottom w:val="single" w:sz="6" w:space="0" w:color="auto"/>
              <w:right w:val="single" w:sz="6" w:space="0" w:color="auto"/>
            </w:tcBorders>
            <w:vAlign w:val="center"/>
          </w:tcPr>
          <w:p w:rsidR="00D04550" w:rsidRPr="00697FFD" w:rsidRDefault="00D04550" w:rsidP="00D04550">
            <w:pPr>
              <w:widowControl/>
              <w:jc w:val="center"/>
              <w:rPr>
                <w:rFonts w:ascii="宋体" w:hAnsi="宋体" w:cs="宋体"/>
                <w:kern w:val="0"/>
                <w:sz w:val="24"/>
              </w:rPr>
            </w:pPr>
            <w:r w:rsidRPr="008340BC">
              <w:rPr>
                <w:rFonts w:ascii="宋体" w:hAnsi="宋体" w:cs="宋体" w:hint="eastAsia"/>
                <w:kern w:val="0"/>
                <w:sz w:val="24"/>
              </w:rPr>
              <w:t>景顺长城</w:t>
            </w:r>
            <w:r w:rsidRPr="00D04550">
              <w:rPr>
                <w:rFonts w:ascii="宋体" w:hAnsi="宋体" w:cs="宋体" w:hint="eastAsia"/>
                <w:kern w:val="0"/>
                <w:sz w:val="24"/>
              </w:rPr>
              <w:t>核心招景</w:t>
            </w:r>
          </w:p>
        </w:tc>
        <w:tc>
          <w:tcPr>
            <w:tcW w:w="693" w:type="pct"/>
            <w:tcBorders>
              <w:top w:val="single" w:sz="6" w:space="0" w:color="auto"/>
              <w:left w:val="single" w:sz="6" w:space="0" w:color="auto"/>
              <w:bottom w:val="single" w:sz="6" w:space="0" w:color="auto"/>
              <w:right w:val="single" w:sz="6" w:space="0" w:color="auto"/>
            </w:tcBorders>
            <w:vAlign w:val="center"/>
          </w:tcPr>
          <w:p w:rsidR="00D04550" w:rsidRPr="009A2F20" w:rsidRDefault="00D04550" w:rsidP="00D04550">
            <w:pPr>
              <w:jc w:val="center"/>
              <w:rPr>
                <w:sz w:val="18"/>
              </w:rPr>
            </w:pPr>
            <w:r w:rsidRPr="00D04550">
              <w:rPr>
                <w:rFonts w:ascii="Arial Unicode MS" w:eastAsia="Arial Unicode MS" w:hAnsi="Arial Unicode MS" w:cs="Arial Unicode MS" w:hint="eastAsia"/>
                <w:kern w:val="0"/>
                <w:sz w:val="20"/>
                <w:szCs w:val="20"/>
              </w:rPr>
              <w:t xml:space="preserve">1,895,734 </w:t>
            </w:r>
          </w:p>
        </w:tc>
        <w:tc>
          <w:tcPr>
            <w:tcW w:w="839" w:type="pct"/>
            <w:tcBorders>
              <w:top w:val="single" w:sz="6" w:space="0" w:color="auto"/>
              <w:left w:val="single" w:sz="6" w:space="0" w:color="auto"/>
              <w:bottom w:val="single" w:sz="6" w:space="0" w:color="auto"/>
              <w:right w:val="single" w:sz="6" w:space="0" w:color="auto"/>
            </w:tcBorders>
            <w:vAlign w:val="center"/>
          </w:tcPr>
          <w:p w:rsidR="00D04550" w:rsidRPr="009A2F20" w:rsidRDefault="00D04550" w:rsidP="00D04550">
            <w:pPr>
              <w:jc w:val="center"/>
              <w:rPr>
                <w:sz w:val="18"/>
              </w:rPr>
            </w:pPr>
            <w:r w:rsidRPr="00D04550">
              <w:rPr>
                <w:rFonts w:ascii="Arial" w:hAnsi="Arial" w:cs="Arial"/>
                <w:kern w:val="0"/>
                <w:sz w:val="20"/>
                <w:szCs w:val="20"/>
              </w:rPr>
              <w:t>59,999,981.10</w:t>
            </w:r>
          </w:p>
        </w:tc>
        <w:tc>
          <w:tcPr>
            <w:tcW w:w="585" w:type="pct"/>
            <w:tcBorders>
              <w:top w:val="single" w:sz="6" w:space="0" w:color="auto"/>
              <w:left w:val="single" w:sz="6" w:space="0" w:color="auto"/>
              <w:bottom w:val="single" w:sz="6" w:space="0" w:color="auto"/>
              <w:right w:val="single" w:sz="6" w:space="0" w:color="auto"/>
            </w:tcBorders>
            <w:vAlign w:val="center"/>
          </w:tcPr>
          <w:p w:rsidR="00D04550" w:rsidRPr="00697FFD" w:rsidRDefault="00AB0933" w:rsidP="00D04550">
            <w:pPr>
              <w:widowControl/>
              <w:jc w:val="center"/>
            </w:pPr>
            <w:r>
              <w:rPr>
                <w:rFonts w:hint="eastAsia"/>
              </w:rPr>
              <w:t>1.05%</w:t>
            </w:r>
          </w:p>
        </w:tc>
        <w:tc>
          <w:tcPr>
            <w:tcW w:w="725" w:type="pct"/>
            <w:tcBorders>
              <w:top w:val="single" w:sz="6" w:space="0" w:color="auto"/>
              <w:left w:val="single" w:sz="6" w:space="0" w:color="auto"/>
              <w:bottom w:val="single" w:sz="6" w:space="0" w:color="auto"/>
              <w:right w:val="single" w:sz="6" w:space="0" w:color="auto"/>
            </w:tcBorders>
            <w:vAlign w:val="center"/>
          </w:tcPr>
          <w:p w:rsidR="00D04550" w:rsidRPr="00697FFD" w:rsidRDefault="00AB0933" w:rsidP="00D04550">
            <w:pPr>
              <w:widowControl/>
              <w:jc w:val="center"/>
            </w:pPr>
            <w:r>
              <w:rPr>
                <w:rFonts w:hint="eastAsia"/>
              </w:rPr>
              <w:t>5,910.90</w:t>
            </w:r>
          </w:p>
        </w:tc>
        <w:tc>
          <w:tcPr>
            <w:tcW w:w="694" w:type="pct"/>
            <w:tcBorders>
              <w:top w:val="single" w:sz="6" w:space="0" w:color="auto"/>
              <w:left w:val="single" w:sz="6" w:space="0" w:color="auto"/>
              <w:bottom w:val="single" w:sz="6" w:space="0" w:color="auto"/>
              <w:right w:val="single" w:sz="6" w:space="0" w:color="auto"/>
            </w:tcBorders>
            <w:vAlign w:val="center"/>
          </w:tcPr>
          <w:p w:rsidR="00D04550" w:rsidRPr="00697FFD" w:rsidRDefault="00AB0933" w:rsidP="00D04550">
            <w:pPr>
              <w:widowControl/>
              <w:jc w:val="center"/>
            </w:pPr>
            <w:r>
              <w:rPr>
                <w:rFonts w:hint="eastAsia"/>
              </w:rPr>
              <w:t>1.04%</w:t>
            </w:r>
          </w:p>
        </w:tc>
        <w:tc>
          <w:tcPr>
            <w:tcW w:w="771" w:type="pct"/>
            <w:tcBorders>
              <w:top w:val="single" w:sz="6" w:space="0" w:color="auto"/>
              <w:left w:val="single" w:sz="6" w:space="0" w:color="auto"/>
              <w:bottom w:val="single" w:sz="6" w:space="0" w:color="auto"/>
              <w:right w:val="single" w:sz="6" w:space="0" w:color="auto"/>
            </w:tcBorders>
            <w:vAlign w:val="center"/>
          </w:tcPr>
          <w:p w:rsidR="00D04550" w:rsidRPr="00697FFD" w:rsidRDefault="00D04550" w:rsidP="00D04550">
            <w:pPr>
              <w:widowControl/>
              <w:jc w:val="center"/>
            </w:pPr>
            <w:r w:rsidRPr="00697FFD">
              <w:t>6</w:t>
            </w:r>
            <w:r w:rsidRPr="00697FFD">
              <w:t>个月</w:t>
            </w:r>
          </w:p>
        </w:tc>
      </w:tr>
    </w:tbl>
    <w:p w:rsidR="003E7EFE" w:rsidRPr="00697FFD" w:rsidRDefault="003E7EFE" w:rsidP="002A2769">
      <w:pPr>
        <w:widowControl/>
        <w:spacing w:line="360" w:lineRule="auto"/>
        <w:ind w:firstLineChars="200" w:firstLine="480"/>
        <w:rPr>
          <w:rFonts w:ascii="宋体" w:hAnsi="宋体" w:cs="宋体"/>
          <w:kern w:val="0"/>
          <w:sz w:val="24"/>
        </w:rPr>
      </w:pPr>
      <w:r w:rsidRPr="00697FFD">
        <w:rPr>
          <w:rFonts w:ascii="宋体" w:hAnsi="宋体" w:cs="宋体" w:hint="eastAsia"/>
          <w:kern w:val="0"/>
          <w:sz w:val="24"/>
        </w:rPr>
        <w:t>注：基金资产净值、账面价值为202</w:t>
      </w:r>
      <w:r w:rsidR="006226C9" w:rsidRPr="00697FFD">
        <w:rPr>
          <w:rFonts w:ascii="宋体" w:hAnsi="宋体" w:cs="宋体"/>
          <w:kern w:val="0"/>
          <w:sz w:val="24"/>
        </w:rPr>
        <w:t>2</w:t>
      </w:r>
      <w:r w:rsidRPr="00697FFD">
        <w:rPr>
          <w:rFonts w:ascii="宋体" w:hAnsi="宋体" w:cs="宋体" w:hint="eastAsia"/>
          <w:kern w:val="0"/>
          <w:sz w:val="24"/>
        </w:rPr>
        <w:t>年</w:t>
      </w:r>
      <w:r w:rsidR="0003262D">
        <w:rPr>
          <w:rFonts w:ascii="宋体" w:hAnsi="宋体" w:cs="宋体"/>
          <w:kern w:val="0"/>
          <w:sz w:val="24"/>
        </w:rPr>
        <w:t>8</w:t>
      </w:r>
      <w:r w:rsidRPr="00697FFD">
        <w:rPr>
          <w:rFonts w:ascii="宋体" w:hAnsi="宋体" w:cs="宋体" w:hint="eastAsia"/>
          <w:kern w:val="0"/>
          <w:sz w:val="24"/>
        </w:rPr>
        <w:t>月</w:t>
      </w:r>
      <w:r w:rsidR="008A1C4B">
        <w:rPr>
          <w:rFonts w:ascii="宋体" w:hAnsi="宋体" w:cs="宋体"/>
          <w:kern w:val="0"/>
          <w:sz w:val="24"/>
        </w:rPr>
        <w:t>16</w:t>
      </w:r>
      <w:r w:rsidRPr="00697FFD">
        <w:rPr>
          <w:rFonts w:ascii="宋体" w:hAnsi="宋体" w:cs="宋体" w:hint="eastAsia"/>
          <w:kern w:val="0"/>
          <w:sz w:val="24"/>
        </w:rPr>
        <w:t>日数据。</w:t>
      </w:r>
    </w:p>
    <w:p w:rsidR="003E7EFE" w:rsidRPr="00697FFD" w:rsidRDefault="003E7EFE" w:rsidP="002A2769">
      <w:pPr>
        <w:widowControl/>
        <w:spacing w:line="360" w:lineRule="auto"/>
        <w:ind w:firstLineChars="200" w:firstLine="480"/>
        <w:rPr>
          <w:rFonts w:ascii="宋体" w:hAnsi="宋体" w:cs="宋体"/>
          <w:kern w:val="0"/>
          <w:sz w:val="24"/>
        </w:rPr>
      </w:pPr>
    </w:p>
    <w:p w:rsidR="002A2769" w:rsidRPr="00697FFD" w:rsidRDefault="002A2769" w:rsidP="002A2769">
      <w:pPr>
        <w:widowControl/>
        <w:spacing w:line="360" w:lineRule="auto"/>
        <w:ind w:firstLineChars="200" w:firstLine="480"/>
        <w:rPr>
          <w:rFonts w:ascii="宋体" w:hAnsi="宋体" w:cs="宋体"/>
          <w:kern w:val="0"/>
          <w:sz w:val="24"/>
        </w:rPr>
      </w:pPr>
      <w:r w:rsidRPr="00697FFD">
        <w:rPr>
          <w:rFonts w:ascii="宋体" w:hAnsi="宋体" w:cs="宋体" w:hint="eastAsia"/>
          <w:kern w:val="0"/>
          <w:sz w:val="24"/>
        </w:rPr>
        <w:t>投资者可登陆本公司网站（</w:t>
      </w:r>
      <w:r w:rsidR="00E21922" w:rsidRPr="00697FFD">
        <w:rPr>
          <w:rFonts w:ascii="宋体" w:hAnsi="宋体" w:cs="宋体"/>
          <w:kern w:val="0"/>
          <w:sz w:val="24"/>
        </w:rPr>
        <w:t>www.igwfmc.com</w:t>
      </w:r>
      <w:r w:rsidRPr="00697FFD">
        <w:rPr>
          <w:rFonts w:ascii="宋体" w:hAnsi="宋体" w:cs="宋体" w:hint="eastAsia"/>
          <w:kern w:val="0"/>
          <w:sz w:val="24"/>
        </w:rPr>
        <w:t>），或拨打客户服务电话400-8888-606 0755-82370688咨询相关信息。</w:t>
      </w:r>
    </w:p>
    <w:p w:rsidR="002A2769" w:rsidRPr="00697FFD" w:rsidRDefault="002A2769" w:rsidP="002A2769">
      <w:pPr>
        <w:spacing w:line="360" w:lineRule="auto"/>
        <w:rPr>
          <w:rFonts w:ascii="宋体" w:hAnsi="宋体" w:cs="宋体"/>
          <w:kern w:val="0"/>
          <w:sz w:val="24"/>
        </w:rPr>
      </w:pPr>
    </w:p>
    <w:p w:rsidR="002A2769" w:rsidRPr="00697FFD" w:rsidRDefault="002A2769" w:rsidP="002A2769">
      <w:pPr>
        <w:spacing w:line="360" w:lineRule="auto"/>
        <w:rPr>
          <w:rFonts w:ascii="宋体" w:hAnsi="宋体" w:cs="宋体"/>
          <w:kern w:val="0"/>
          <w:sz w:val="24"/>
        </w:rPr>
      </w:pPr>
    </w:p>
    <w:p w:rsidR="002A2769" w:rsidRPr="00697FFD" w:rsidRDefault="002A2769" w:rsidP="002A2769">
      <w:pPr>
        <w:widowControl/>
        <w:spacing w:line="360" w:lineRule="auto"/>
        <w:ind w:firstLineChars="200" w:firstLine="480"/>
        <w:rPr>
          <w:rFonts w:ascii="宋体" w:hAnsi="宋体" w:cs="宋体"/>
          <w:kern w:val="0"/>
          <w:sz w:val="24"/>
        </w:rPr>
      </w:pPr>
      <w:r w:rsidRPr="00697FFD">
        <w:rPr>
          <w:rFonts w:ascii="宋体" w:hAnsi="宋体" w:cs="宋体" w:hint="eastAsia"/>
          <w:kern w:val="0"/>
          <w:sz w:val="24"/>
        </w:rPr>
        <w:t>特此公告。</w:t>
      </w:r>
    </w:p>
    <w:p w:rsidR="002A2769" w:rsidRPr="00697FFD" w:rsidRDefault="002A2769" w:rsidP="002A2769">
      <w:pPr>
        <w:spacing w:line="360" w:lineRule="auto"/>
        <w:rPr>
          <w:rFonts w:ascii="宋体" w:hAnsi="宋体" w:cs="宋体"/>
          <w:kern w:val="0"/>
          <w:sz w:val="24"/>
        </w:rPr>
      </w:pPr>
    </w:p>
    <w:p w:rsidR="002A2769" w:rsidRPr="00697FFD" w:rsidRDefault="002A2769" w:rsidP="002A2769">
      <w:pPr>
        <w:spacing w:line="360" w:lineRule="auto"/>
        <w:rPr>
          <w:rFonts w:ascii="宋体" w:hAnsi="宋体" w:cs="宋体"/>
          <w:kern w:val="0"/>
          <w:sz w:val="24"/>
        </w:rPr>
      </w:pPr>
      <w:r w:rsidRPr="00697FFD">
        <w:rPr>
          <w:rFonts w:ascii="宋体" w:hAnsi="宋体" w:cs="宋体" w:hint="eastAsia"/>
          <w:kern w:val="0"/>
          <w:sz w:val="24"/>
        </w:rPr>
        <w:t xml:space="preserve">　　                                         景顺长城基金管理有限公司</w:t>
      </w:r>
    </w:p>
    <w:p w:rsidR="005A3089" w:rsidRPr="002A2769" w:rsidRDefault="002A2769" w:rsidP="004C275F">
      <w:pPr>
        <w:spacing w:line="360" w:lineRule="auto"/>
      </w:pPr>
      <w:r w:rsidRPr="00697FFD">
        <w:rPr>
          <w:rFonts w:ascii="宋体" w:hAnsi="宋体" w:cs="宋体" w:hint="eastAsia"/>
          <w:kern w:val="0"/>
          <w:sz w:val="24"/>
        </w:rPr>
        <w:t xml:space="preserve">                                                 </w:t>
      </w:r>
      <w:r w:rsidR="003B0285" w:rsidRPr="00697FFD">
        <w:rPr>
          <w:rFonts w:ascii="宋体" w:hAnsi="宋体" w:cs="宋体" w:hint="eastAsia"/>
          <w:kern w:val="0"/>
          <w:sz w:val="24"/>
        </w:rPr>
        <w:t xml:space="preserve">    </w:t>
      </w:r>
      <w:r w:rsidRPr="00697FFD">
        <w:rPr>
          <w:rFonts w:ascii="宋体" w:hAnsi="宋体" w:cs="宋体" w:hint="eastAsia"/>
          <w:kern w:val="0"/>
          <w:sz w:val="24"/>
        </w:rPr>
        <w:t xml:space="preserve"> </w:t>
      </w:r>
      <w:r w:rsidR="00E21922" w:rsidRPr="00697FFD">
        <w:rPr>
          <w:rFonts w:ascii="宋体" w:hAnsi="宋体" w:cs="宋体"/>
          <w:kern w:val="0"/>
          <w:sz w:val="24"/>
        </w:rPr>
        <w:t>202</w:t>
      </w:r>
      <w:r w:rsidR="006226C9" w:rsidRPr="00697FFD">
        <w:rPr>
          <w:rFonts w:ascii="宋体" w:hAnsi="宋体" w:cs="宋体"/>
          <w:kern w:val="0"/>
          <w:sz w:val="24"/>
        </w:rPr>
        <w:t>2</w:t>
      </w:r>
      <w:r w:rsidR="00E21922" w:rsidRPr="00697FFD">
        <w:rPr>
          <w:rFonts w:ascii="宋体" w:hAnsi="宋体" w:cs="宋体" w:hint="eastAsia"/>
          <w:kern w:val="0"/>
          <w:sz w:val="24"/>
        </w:rPr>
        <w:t>年</w:t>
      </w:r>
      <w:r w:rsidR="0003262D">
        <w:rPr>
          <w:rFonts w:ascii="宋体" w:hAnsi="宋体" w:cs="宋体"/>
          <w:kern w:val="0"/>
          <w:sz w:val="24"/>
        </w:rPr>
        <w:t>8</w:t>
      </w:r>
      <w:r w:rsidR="00E21922" w:rsidRPr="00697FFD">
        <w:rPr>
          <w:rFonts w:ascii="宋体" w:hAnsi="宋体" w:cs="宋体" w:hint="eastAsia"/>
          <w:kern w:val="0"/>
          <w:sz w:val="24"/>
        </w:rPr>
        <w:t>月</w:t>
      </w:r>
      <w:r w:rsidR="005F3EA5">
        <w:rPr>
          <w:rFonts w:ascii="宋体" w:hAnsi="宋体" w:cs="宋体"/>
          <w:kern w:val="0"/>
          <w:sz w:val="24"/>
        </w:rPr>
        <w:t>18</w:t>
      </w:r>
      <w:r w:rsidRPr="00697FFD">
        <w:rPr>
          <w:rFonts w:ascii="宋体" w:hAnsi="宋体" w:cs="宋体" w:hint="eastAsia"/>
          <w:kern w:val="0"/>
          <w:sz w:val="24"/>
        </w:rPr>
        <w:t>日</w:t>
      </w:r>
    </w:p>
    <w:sectPr w:rsidR="005A3089" w:rsidRPr="002A2769" w:rsidSect="001002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9A0" w:rsidRDefault="007549A0" w:rsidP="00FB3203">
      <w:r>
        <w:separator/>
      </w:r>
    </w:p>
  </w:endnote>
  <w:endnote w:type="continuationSeparator" w:id="0">
    <w:p w:rsidR="007549A0" w:rsidRDefault="007549A0" w:rsidP="00FB3203">
      <w:r>
        <w:continuationSeparator/>
      </w:r>
    </w:p>
  </w:endnote>
</w:endnotes>
</file>

<file path=word/fontTable.xml><?xml version="1.0" encoding="utf-8"?>
<w:fonts xmlns:r="http://schemas.openxmlformats.org/officeDocument/2006/relationships" xmlns:w="http://schemas.openxmlformats.org/wordprocessingml/2006/main">
  <w:font w:name="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9A0" w:rsidRDefault="007549A0" w:rsidP="00FB3203">
      <w:r>
        <w:separator/>
      </w:r>
    </w:p>
  </w:footnote>
  <w:footnote w:type="continuationSeparator" w:id="0">
    <w:p w:rsidR="007549A0" w:rsidRDefault="007549A0" w:rsidP="00FB32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2769"/>
    <w:rsid w:val="000166BE"/>
    <w:rsid w:val="0003262D"/>
    <w:rsid w:val="0004475E"/>
    <w:rsid w:val="00060050"/>
    <w:rsid w:val="00065BF6"/>
    <w:rsid w:val="00087031"/>
    <w:rsid w:val="000A2837"/>
    <w:rsid w:val="000D7C00"/>
    <w:rsid w:val="000F6E66"/>
    <w:rsid w:val="00100222"/>
    <w:rsid w:val="00142563"/>
    <w:rsid w:val="00143CAB"/>
    <w:rsid w:val="00154708"/>
    <w:rsid w:val="00156948"/>
    <w:rsid w:val="001732EC"/>
    <w:rsid w:val="001801EB"/>
    <w:rsid w:val="00187212"/>
    <w:rsid w:val="001B06B2"/>
    <w:rsid w:val="001D77DB"/>
    <w:rsid w:val="001F7216"/>
    <w:rsid w:val="00213A6F"/>
    <w:rsid w:val="00226BD0"/>
    <w:rsid w:val="002327DA"/>
    <w:rsid w:val="002352F1"/>
    <w:rsid w:val="00264738"/>
    <w:rsid w:val="002776F4"/>
    <w:rsid w:val="002A2769"/>
    <w:rsid w:val="002D24CA"/>
    <w:rsid w:val="002D44CE"/>
    <w:rsid w:val="002E7CF3"/>
    <w:rsid w:val="0030171A"/>
    <w:rsid w:val="003206D3"/>
    <w:rsid w:val="003862C3"/>
    <w:rsid w:val="003B0285"/>
    <w:rsid w:val="003E7EFE"/>
    <w:rsid w:val="004048E4"/>
    <w:rsid w:val="00443D7F"/>
    <w:rsid w:val="00444EC5"/>
    <w:rsid w:val="00456AD9"/>
    <w:rsid w:val="004B5064"/>
    <w:rsid w:val="004C275F"/>
    <w:rsid w:val="004D2A48"/>
    <w:rsid w:val="004F2777"/>
    <w:rsid w:val="004F660F"/>
    <w:rsid w:val="00512132"/>
    <w:rsid w:val="00593AC9"/>
    <w:rsid w:val="005A3089"/>
    <w:rsid w:val="005C76D5"/>
    <w:rsid w:val="005F16D8"/>
    <w:rsid w:val="005F3EA5"/>
    <w:rsid w:val="006226C9"/>
    <w:rsid w:val="00645D0C"/>
    <w:rsid w:val="00652B19"/>
    <w:rsid w:val="00697FFD"/>
    <w:rsid w:val="006B06E1"/>
    <w:rsid w:val="006C310C"/>
    <w:rsid w:val="006D2822"/>
    <w:rsid w:val="0073677A"/>
    <w:rsid w:val="00747F9B"/>
    <w:rsid w:val="007549A0"/>
    <w:rsid w:val="00775E4B"/>
    <w:rsid w:val="00787FBE"/>
    <w:rsid w:val="00796959"/>
    <w:rsid w:val="007B7CB3"/>
    <w:rsid w:val="007D41E3"/>
    <w:rsid w:val="007D6A61"/>
    <w:rsid w:val="007E5C48"/>
    <w:rsid w:val="007E7DE0"/>
    <w:rsid w:val="008340BC"/>
    <w:rsid w:val="0084064F"/>
    <w:rsid w:val="00896089"/>
    <w:rsid w:val="008A1C4B"/>
    <w:rsid w:val="00915A40"/>
    <w:rsid w:val="00922C83"/>
    <w:rsid w:val="00925781"/>
    <w:rsid w:val="0097081A"/>
    <w:rsid w:val="009A2F20"/>
    <w:rsid w:val="009D6C46"/>
    <w:rsid w:val="009E621D"/>
    <w:rsid w:val="009E7D94"/>
    <w:rsid w:val="00A0525A"/>
    <w:rsid w:val="00A539C3"/>
    <w:rsid w:val="00A6559A"/>
    <w:rsid w:val="00A73AA5"/>
    <w:rsid w:val="00A75851"/>
    <w:rsid w:val="00A80ABA"/>
    <w:rsid w:val="00AB0933"/>
    <w:rsid w:val="00AC315C"/>
    <w:rsid w:val="00AD3B44"/>
    <w:rsid w:val="00B005D3"/>
    <w:rsid w:val="00B95F8E"/>
    <w:rsid w:val="00BB764A"/>
    <w:rsid w:val="00C80BB0"/>
    <w:rsid w:val="00CC13BD"/>
    <w:rsid w:val="00CF1EF7"/>
    <w:rsid w:val="00D04550"/>
    <w:rsid w:val="00D05532"/>
    <w:rsid w:val="00D47B89"/>
    <w:rsid w:val="00E10CA5"/>
    <w:rsid w:val="00E21922"/>
    <w:rsid w:val="00E80FA4"/>
    <w:rsid w:val="00ED6DA6"/>
    <w:rsid w:val="00F24D49"/>
    <w:rsid w:val="00F4519B"/>
    <w:rsid w:val="00FA2FDB"/>
    <w:rsid w:val="00FB2A30"/>
    <w:rsid w:val="00FB3203"/>
    <w:rsid w:val="00FB35C2"/>
    <w:rsid w:val="00FC4A31"/>
    <w:rsid w:val="00FC4B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2769"/>
    <w:rPr>
      <w:color w:val="0563C1" w:themeColor="hyperlink"/>
      <w:u w:val="single"/>
    </w:rPr>
  </w:style>
  <w:style w:type="paragraph" w:styleId="a4">
    <w:name w:val="header"/>
    <w:basedOn w:val="a"/>
    <w:link w:val="Char"/>
    <w:uiPriority w:val="99"/>
    <w:unhideWhenUsed/>
    <w:rsid w:val="00FB32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B3203"/>
    <w:rPr>
      <w:rFonts w:ascii="Times New Roman" w:eastAsia="宋体" w:hAnsi="Times New Roman" w:cs="Times New Roman"/>
      <w:sz w:val="18"/>
      <w:szCs w:val="18"/>
    </w:rPr>
  </w:style>
  <w:style w:type="paragraph" w:styleId="a5">
    <w:name w:val="footer"/>
    <w:basedOn w:val="a"/>
    <w:link w:val="Char0"/>
    <w:uiPriority w:val="99"/>
    <w:unhideWhenUsed/>
    <w:rsid w:val="00FB3203"/>
    <w:pPr>
      <w:tabs>
        <w:tab w:val="center" w:pos="4153"/>
        <w:tab w:val="right" w:pos="8306"/>
      </w:tabs>
      <w:snapToGrid w:val="0"/>
      <w:jc w:val="left"/>
    </w:pPr>
    <w:rPr>
      <w:sz w:val="18"/>
      <w:szCs w:val="18"/>
    </w:rPr>
  </w:style>
  <w:style w:type="character" w:customStyle="1" w:styleId="Char0">
    <w:name w:val="页脚 Char"/>
    <w:basedOn w:val="a0"/>
    <w:link w:val="a5"/>
    <w:uiPriority w:val="99"/>
    <w:rsid w:val="00FB3203"/>
    <w:rPr>
      <w:rFonts w:ascii="Times New Roman" w:eastAsia="宋体" w:hAnsi="Times New Roman" w:cs="Times New Roman"/>
      <w:sz w:val="18"/>
      <w:szCs w:val="18"/>
    </w:rPr>
  </w:style>
  <w:style w:type="paragraph" w:styleId="a6">
    <w:name w:val="Balloon Text"/>
    <w:basedOn w:val="a"/>
    <w:link w:val="Char1"/>
    <w:uiPriority w:val="99"/>
    <w:semiHidden/>
    <w:unhideWhenUsed/>
    <w:rsid w:val="00E21922"/>
    <w:rPr>
      <w:sz w:val="18"/>
      <w:szCs w:val="18"/>
    </w:rPr>
  </w:style>
  <w:style w:type="character" w:customStyle="1" w:styleId="Char1">
    <w:name w:val="批注框文本 Char"/>
    <w:basedOn w:val="a0"/>
    <w:link w:val="a6"/>
    <w:uiPriority w:val="99"/>
    <w:semiHidden/>
    <w:rsid w:val="00E21922"/>
    <w:rPr>
      <w:rFonts w:ascii="Times New Roman" w:eastAsia="宋体" w:hAnsi="Times New Roman" w:cs="Times New Roman"/>
      <w:sz w:val="18"/>
      <w:szCs w:val="18"/>
    </w:rPr>
  </w:style>
  <w:style w:type="character" w:styleId="a7">
    <w:name w:val="annotation reference"/>
    <w:basedOn w:val="a0"/>
    <w:uiPriority w:val="99"/>
    <w:semiHidden/>
    <w:unhideWhenUsed/>
    <w:rsid w:val="0097081A"/>
    <w:rPr>
      <w:sz w:val="21"/>
      <w:szCs w:val="21"/>
    </w:rPr>
  </w:style>
  <w:style w:type="paragraph" w:styleId="a8">
    <w:name w:val="annotation text"/>
    <w:basedOn w:val="a"/>
    <w:link w:val="Char2"/>
    <w:uiPriority w:val="99"/>
    <w:semiHidden/>
    <w:unhideWhenUsed/>
    <w:rsid w:val="0097081A"/>
    <w:pPr>
      <w:jc w:val="left"/>
    </w:pPr>
  </w:style>
  <w:style w:type="character" w:customStyle="1" w:styleId="Char2">
    <w:name w:val="批注文字 Char"/>
    <w:basedOn w:val="a0"/>
    <w:link w:val="a8"/>
    <w:uiPriority w:val="99"/>
    <w:semiHidden/>
    <w:rsid w:val="0097081A"/>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97081A"/>
    <w:rPr>
      <w:b/>
      <w:bCs/>
    </w:rPr>
  </w:style>
  <w:style w:type="character" w:customStyle="1" w:styleId="Char3">
    <w:name w:val="批注主题 Char"/>
    <w:basedOn w:val="Char2"/>
    <w:link w:val="a9"/>
    <w:uiPriority w:val="99"/>
    <w:semiHidden/>
    <w:rsid w:val="0097081A"/>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16127475">
      <w:bodyDiv w:val="1"/>
      <w:marLeft w:val="0"/>
      <w:marRight w:val="0"/>
      <w:marTop w:val="0"/>
      <w:marBottom w:val="0"/>
      <w:divBdr>
        <w:top w:val="none" w:sz="0" w:space="0" w:color="auto"/>
        <w:left w:val="none" w:sz="0" w:space="0" w:color="auto"/>
        <w:bottom w:val="none" w:sz="0" w:space="0" w:color="auto"/>
        <w:right w:val="none" w:sz="0" w:space="0" w:color="auto"/>
      </w:divBdr>
    </w:div>
    <w:div w:id="564604352">
      <w:bodyDiv w:val="1"/>
      <w:marLeft w:val="0"/>
      <w:marRight w:val="0"/>
      <w:marTop w:val="0"/>
      <w:marBottom w:val="0"/>
      <w:divBdr>
        <w:top w:val="none" w:sz="0" w:space="0" w:color="auto"/>
        <w:left w:val="none" w:sz="0" w:space="0" w:color="auto"/>
        <w:bottom w:val="none" w:sz="0" w:space="0" w:color="auto"/>
        <w:right w:val="none" w:sz="0" w:space="0" w:color="auto"/>
      </w:divBdr>
    </w:div>
    <w:div w:id="907693801">
      <w:bodyDiv w:val="1"/>
      <w:marLeft w:val="0"/>
      <w:marRight w:val="0"/>
      <w:marTop w:val="0"/>
      <w:marBottom w:val="0"/>
      <w:divBdr>
        <w:top w:val="none" w:sz="0" w:space="0" w:color="auto"/>
        <w:left w:val="none" w:sz="0" w:space="0" w:color="auto"/>
        <w:bottom w:val="none" w:sz="0" w:space="0" w:color="auto"/>
        <w:right w:val="none" w:sz="0" w:space="0" w:color="auto"/>
      </w:divBdr>
    </w:div>
    <w:div w:id="14988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796</Characters>
  <Application>Microsoft Office Word</Application>
  <DocSecurity>4</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Li.Nan Xi(李南西)</dc:creator>
  <cp:keywords/>
  <dc:description/>
  <cp:lastModifiedBy>ZHONGM</cp:lastModifiedBy>
  <cp:revision>2</cp:revision>
  <dcterms:created xsi:type="dcterms:W3CDTF">2022-08-17T16:02:00Z</dcterms:created>
  <dcterms:modified xsi:type="dcterms:W3CDTF">2022-08-17T16:02:00Z</dcterms:modified>
</cp:coreProperties>
</file>