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91" w:rsidRPr="000722DC" w:rsidRDefault="000722DC">
      <w:pPr>
        <w:jc w:val="center"/>
        <w:rPr>
          <w:rFonts w:ascii="宋体" w:eastAsia="宋体" w:hAnsi="宋体" w:cs="微软雅黑"/>
          <w:b/>
          <w:bCs/>
          <w:kern w:val="0"/>
          <w:sz w:val="24"/>
          <w:szCs w:val="24"/>
        </w:rPr>
      </w:pPr>
      <w:r w:rsidRPr="000722DC">
        <w:rPr>
          <w:rFonts w:ascii="宋体" w:eastAsia="宋体" w:hAnsi="宋体" w:cs="微软雅黑" w:hint="eastAsia"/>
          <w:b/>
          <w:bCs/>
          <w:kern w:val="0"/>
          <w:sz w:val="24"/>
          <w:szCs w:val="24"/>
        </w:rPr>
        <w:t>海富通基金管理有限公司关于旗下部分基金新增兴业银行股份有限公司为销售机构的公告</w:t>
      </w:r>
    </w:p>
    <w:p w:rsidR="00094A91" w:rsidRPr="000722DC" w:rsidRDefault="00094A91">
      <w:pPr>
        <w:jc w:val="center"/>
        <w:rPr>
          <w:rFonts w:ascii="宋体" w:eastAsia="宋体" w:hAnsi="宋体" w:cstheme="minorEastAsia"/>
          <w:b/>
          <w:bCs/>
          <w:kern w:val="0"/>
          <w:sz w:val="24"/>
          <w:szCs w:val="24"/>
        </w:rPr>
      </w:pP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兴业银行股份有限公司（以下简称“兴业银行”）的开放式基金销售资格已获中国证券监督管理委员会批准。根据海富通基金管理有限公司日前与兴业银行签署的开放式证券投资基金销售协议，现增加兴业银行为旗下部分基金的销售机构。现将有关事项公告如下：</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pStyle w:val="a4"/>
        <w:numPr>
          <w:ilvl w:val="0"/>
          <w:numId w:val="1"/>
        </w:numPr>
        <w:spacing w:line="360" w:lineRule="auto"/>
        <w:ind w:firstLineChars="0"/>
        <w:rPr>
          <w:rFonts w:ascii="宋体" w:eastAsia="宋体" w:hAnsi="宋体" w:cs="微软雅黑"/>
          <w:b/>
          <w:sz w:val="24"/>
          <w:szCs w:val="24"/>
        </w:rPr>
      </w:pPr>
      <w:r w:rsidRPr="000722DC">
        <w:rPr>
          <w:rFonts w:ascii="宋体" w:eastAsia="宋体" w:hAnsi="宋体" w:cs="微软雅黑" w:hint="eastAsia"/>
          <w:b/>
          <w:sz w:val="24"/>
          <w:szCs w:val="24"/>
        </w:rPr>
        <w:t>适用基金</w:t>
      </w:r>
    </w:p>
    <w:tbl>
      <w:tblPr>
        <w:tblStyle w:val="a3"/>
        <w:tblW w:w="9662" w:type="dxa"/>
        <w:tblInd w:w="-231" w:type="dxa"/>
        <w:tblLayout w:type="fixed"/>
        <w:tblLook w:val="04A0"/>
      </w:tblPr>
      <w:tblGrid>
        <w:gridCol w:w="787"/>
        <w:gridCol w:w="1950"/>
        <w:gridCol w:w="6925"/>
      </w:tblGrid>
      <w:tr w:rsidR="00094A91" w:rsidRPr="000722DC">
        <w:trPr>
          <w:trHeight w:val="290"/>
        </w:trPr>
        <w:tc>
          <w:tcPr>
            <w:tcW w:w="787" w:type="dxa"/>
            <w:noWrap/>
          </w:tcPr>
          <w:p w:rsidR="00094A91" w:rsidRPr="000722DC" w:rsidRDefault="000722DC">
            <w:pPr>
              <w:spacing w:line="360" w:lineRule="auto"/>
              <w:jc w:val="center"/>
              <w:rPr>
                <w:rFonts w:ascii="宋体" w:eastAsia="宋体" w:hAnsi="宋体" w:cs="微软雅黑"/>
                <w:b/>
                <w:sz w:val="24"/>
                <w:szCs w:val="24"/>
              </w:rPr>
            </w:pPr>
            <w:r w:rsidRPr="000722DC">
              <w:rPr>
                <w:rFonts w:ascii="宋体" w:eastAsia="宋体" w:hAnsi="宋体" w:cs="微软雅黑" w:hint="eastAsia"/>
                <w:b/>
                <w:sz w:val="24"/>
                <w:szCs w:val="24"/>
              </w:rPr>
              <w:t>序号</w:t>
            </w:r>
          </w:p>
        </w:tc>
        <w:tc>
          <w:tcPr>
            <w:tcW w:w="1950" w:type="dxa"/>
            <w:noWrap/>
          </w:tcPr>
          <w:p w:rsidR="00094A91" w:rsidRPr="000722DC" w:rsidRDefault="000722DC">
            <w:pPr>
              <w:spacing w:line="360" w:lineRule="auto"/>
              <w:jc w:val="center"/>
              <w:rPr>
                <w:rFonts w:ascii="宋体" w:eastAsia="宋体" w:hAnsi="宋体" w:cs="微软雅黑"/>
                <w:b/>
                <w:sz w:val="24"/>
                <w:szCs w:val="24"/>
              </w:rPr>
            </w:pPr>
            <w:r w:rsidRPr="000722DC">
              <w:rPr>
                <w:rFonts w:ascii="宋体" w:eastAsia="宋体" w:hAnsi="宋体" w:cs="微软雅黑" w:hint="eastAsia"/>
                <w:b/>
                <w:sz w:val="24"/>
                <w:szCs w:val="24"/>
              </w:rPr>
              <w:t>基金代码</w:t>
            </w:r>
          </w:p>
        </w:tc>
        <w:tc>
          <w:tcPr>
            <w:tcW w:w="6925" w:type="dxa"/>
          </w:tcPr>
          <w:p w:rsidR="00094A91" w:rsidRPr="000722DC" w:rsidRDefault="000722DC">
            <w:pPr>
              <w:spacing w:line="360" w:lineRule="auto"/>
              <w:jc w:val="center"/>
              <w:rPr>
                <w:rFonts w:ascii="宋体" w:eastAsia="宋体" w:hAnsi="宋体" w:cs="微软雅黑"/>
                <w:b/>
                <w:sz w:val="24"/>
                <w:szCs w:val="24"/>
              </w:rPr>
            </w:pPr>
            <w:r w:rsidRPr="000722DC">
              <w:rPr>
                <w:rFonts w:ascii="宋体" w:eastAsia="宋体" w:hAnsi="宋体" w:cs="微软雅黑" w:hint="eastAsia"/>
                <w:b/>
                <w:sz w:val="24"/>
                <w:szCs w:val="24"/>
              </w:rPr>
              <w:t>基金名称</w:t>
            </w:r>
          </w:p>
        </w:tc>
      </w:tr>
      <w:tr w:rsidR="00094A91" w:rsidRPr="000722DC">
        <w:trPr>
          <w:trHeight w:val="333"/>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519225</w:t>
            </w:r>
          </w:p>
        </w:tc>
        <w:tc>
          <w:tcPr>
            <w:tcW w:w="6925" w:type="dxa"/>
          </w:tcPr>
          <w:p w:rsidR="00094A91" w:rsidRPr="000722DC" w:rsidRDefault="000722DC">
            <w:pPr>
              <w:spacing w:line="480" w:lineRule="auto"/>
              <w:jc w:val="center"/>
              <w:rPr>
                <w:rFonts w:ascii="宋体" w:eastAsia="宋体" w:hAnsi="宋体" w:cs="微软雅黑"/>
                <w:sz w:val="24"/>
                <w:szCs w:val="24"/>
              </w:rPr>
            </w:pPr>
            <w:r w:rsidRPr="000722DC">
              <w:rPr>
                <w:rFonts w:ascii="宋体" w:eastAsia="宋体" w:hAnsi="宋体" w:cs="微软雅黑" w:hint="eastAsia"/>
                <w:sz w:val="24"/>
                <w:szCs w:val="24"/>
              </w:rPr>
              <w:t>海富通集利纯债债券型证券投资基金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2</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519137</w:t>
            </w:r>
          </w:p>
        </w:tc>
        <w:tc>
          <w:tcPr>
            <w:tcW w:w="6925" w:type="dxa"/>
          </w:tcPr>
          <w:p w:rsidR="00094A91" w:rsidRPr="000722DC" w:rsidRDefault="000722DC">
            <w:pPr>
              <w:spacing w:line="480" w:lineRule="auto"/>
              <w:jc w:val="center"/>
              <w:rPr>
                <w:rFonts w:ascii="宋体" w:eastAsia="宋体" w:hAnsi="宋体" w:cs="微软雅黑"/>
                <w:sz w:val="24"/>
                <w:szCs w:val="24"/>
              </w:rPr>
            </w:pPr>
            <w:r w:rsidRPr="000722DC">
              <w:rPr>
                <w:rFonts w:ascii="宋体" w:eastAsia="宋体" w:hAnsi="宋体" w:cs="微软雅黑" w:hint="eastAsia"/>
                <w:sz w:val="24"/>
                <w:szCs w:val="24"/>
              </w:rPr>
              <w:t>海富通瑞福债券型证券投资基金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3</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519138</w:t>
            </w:r>
          </w:p>
        </w:tc>
        <w:tc>
          <w:tcPr>
            <w:tcW w:w="6925" w:type="dxa"/>
          </w:tcPr>
          <w:p w:rsidR="00094A91" w:rsidRPr="000722DC" w:rsidRDefault="000722DC">
            <w:pPr>
              <w:spacing w:line="480" w:lineRule="auto"/>
              <w:jc w:val="center"/>
              <w:rPr>
                <w:rFonts w:ascii="宋体" w:eastAsia="宋体" w:hAnsi="宋体" w:cs="微软雅黑"/>
                <w:sz w:val="24"/>
                <w:szCs w:val="24"/>
              </w:rPr>
            </w:pPr>
            <w:r w:rsidRPr="000722DC">
              <w:rPr>
                <w:rFonts w:ascii="宋体" w:eastAsia="宋体" w:hAnsi="宋体" w:cs="微软雅黑" w:hint="eastAsia"/>
                <w:spacing w:val="2"/>
                <w:sz w:val="24"/>
                <w:szCs w:val="24"/>
                <w:shd w:val="clear" w:color="auto" w:fill="FFFFFF"/>
              </w:rPr>
              <w:t>海富通瑞祥一年定期开放债券型证券投资基金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4</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008231</w:t>
            </w:r>
          </w:p>
        </w:tc>
        <w:tc>
          <w:tcPr>
            <w:tcW w:w="6925" w:type="dxa"/>
          </w:tcPr>
          <w:p w:rsidR="00094A91" w:rsidRPr="000722DC" w:rsidRDefault="000722DC">
            <w:pPr>
              <w:spacing w:line="480" w:lineRule="auto"/>
              <w:jc w:val="center"/>
              <w:rPr>
                <w:rFonts w:ascii="宋体" w:eastAsia="宋体" w:hAnsi="宋体" w:cs="微软雅黑"/>
                <w:sz w:val="24"/>
                <w:szCs w:val="24"/>
              </w:rPr>
            </w:pPr>
            <w:r w:rsidRPr="000722DC">
              <w:rPr>
                <w:rFonts w:ascii="宋体" w:eastAsia="宋体" w:hAnsi="宋体" w:cs="微软雅黑" w:hint="eastAsia"/>
                <w:spacing w:val="2"/>
                <w:sz w:val="24"/>
                <w:szCs w:val="24"/>
                <w:shd w:val="clear" w:color="auto" w:fill="FFFFFF"/>
              </w:rPr>
              <w:t>海富通裕通30个月定期开放债券型证券投资基金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5</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011115</w:t>
            </w:r>
          </w:p>
        </w:tc>
        <w:tc>
          <w:tcPr>
            <w:tcW w:w="6925" w:type="dxa"/>
          </w:tcPr>
          <w:p w:rsidR="00094A91" w:rsidRPr="000722DC" w:rsidRDefault="000722DC">
            <w:pPr>
              <w:spacing w:line="480" w:lineRule="auto"/>
              <w:jc w:val="center"/>
              <w:rPr>
                <w:rFonts w:ascii="宋体" w:eastAsia="宋体" w:hAnsi="宋体" w:cs="微软雅黑"/>
                <w:sz w:val="24"/>
                <w:szCs w:val="24"/>
              </w:rPr>
            </w:pPr>
            <w:r w:rsidRPr="000722DC">
              <w:rPr>
                <w:rFonts w:ascii="宋体" w:eastAsia="宋体" w:hAnsi="宋体" w:cs="微软雅黑" w:hint="eastAsia"/>
                <w:spacing w:val="2"/>
                <w:sz w:val="24"/>
                <w:szCs w:val="24"/>
                <w:shd w:val="clear" w:color="auto" w:fill="FFFFFF"/>
              </w:rPr>
              <w:t>海富通利率债债券型证券投资基金A类份额</w:t>
            </w:r>
          </w:p>
        </w:tc>
      </w:tr>
      <w:tr w:rsidR="00094A91" w:rsidRPr="000722DC">
        <w:trPr>
          <w:trHeight w:val="470"/>
        </w:trPr>
        <w:tc>
          <w:tcPr>
            <w:tcW w:w="787" w:type="dxa"/>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6</w:t>
            </w:r>
          </w:p>
        </w:tc>
        <w:tc>
          <w:tcPr>
            <w:tcW w:w="1950" w:type="dxa"/>
            <w:noWrap/>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519026</w:t>
            </w:r>
          </w:p>
        </w:tc>
        <w:tc>
          <w:tcPr>
            <w:tcW w:w="6925" w:type="dxa"/>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海富通中小盘混合型证券投资基金</w:t>
            </w:r>
          </w:p>
        </w:tc>
      </w:tr>
      <w:tr w:rsidR="00094A91" w:rsidRPr="000722DC">
        <w:trPr>
          <w:trHeight w:val="470"/>
        </w:trPr>
        <w:tc>
          <w:tcPr>
            <w:tcW w:w="787" w:type="dxa"/>
            <w:vMerge w:val="restart"/>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7</w:t>
            </w:r>
          </w:p>
        </w:tc>
        <w:tc>
          <w:tcPr>
            <w:tcW w:w="1950" w:type="dxa"/>
            <w:noWrap/>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A类：519051</w:t>
            </w:r>
          </w:p>
        </w:tc>
        <w:tc>
          <w:tcPr>
            <w:tcW w:w="6925" w:type="dxa"/>
            <w:vMerge w:val="restart"/>
          </w:tcPr>
          <w:p w:rsidR="00094A91" w:rsidRPr="000722DC" w:rsidRDefault="000722DC" w:rsidP="000722DC">
            <w:pPr>
              <w:spacing w:line="480" w:lineRule="auto"/>
              <w:ind w:firstLineChars="200" w:firstLine="488"/>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海富通一年定期开放债券型证券投资基金</w:t>
            </w:r>
          </w:p>
        </w:tc>
      </w:tr>
      <w:tr w:rsidR="00094A91" w:rsidRPr="000722DC" w:rsidTr="000722DC">
        <w:trPr>
          <w:trHeight w:val="267"/>
        </w:trPr>
        <w:tc>
          <w:tcPr>
            <w:tcW w:w="787" w:type="dxa"/>
            <w:vMerge/>
          </w:tcPr>
          <w:p w:rsidR="00094A91" w:rsidRPr="000722DC" w:rsidRDefault="00094A91">
            <w:pPr>
              <w:spacing w:line="360" w:lineRule="auto"/>
              <w:jc w:val="center"/>
              <w:rPr>
                <w:rFonts w:ascii="宋体" w:eastAsia="宋体" w:hAnsi="宋体" w:cs="微软雅黑"/>
                <w:sz w:val="24"/>
                <w:szCs w:val="24"/>
              </w:rPr>
            </w:pP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C类：001976</w:t>
            </w:r>
          </w:p>
        </w:tc>
        <w:tc>
          <w:tcPr>
            <w:tcW w:w="6925" w:type="dxa"/>
            <w:vMerge/>
          </w:tcPr>
          <w:p w:rsidR="00094A91" w:rsidRPr="000722DC" w:rsidRDefault="00094A91">
            <w:pPr>
              <w:spacing w:line="480" w:lineRule="auto"/>
              <w:jc w:val="center"/>
              <w:rPr>
                <w:rFonts w:ascii="宋体" w:eastAsia="宋体" w:hAnsi="宋体" w:cs="微软雅黑"/>
                <w:spacing w:val="2"/>
                <w:sz w:val="24"/>
                <w:szCs w:val="24"/>
                <w:shd w:val="clear" w:color="auto" w:fill="FFFFFF"/>
              </w:rPr>
            </w:pPr>
          </w:p>
        </w:tc>
      </w:tr>
      <w:tr w:rsidR="00094A91" w:rsidRPr="000722DC">
        <w:trPr>
          <w:trHeight w:val="470"/>
        </w:trPr>
        <w:tc>
          <w:tcPr>
            <w:tcW w:w="787" w:type="dxa"/>
            <w:vMerge w:val="restart"/>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8</w:t>
            </w:r>
          </w:p>
        </w:tc>
        <w:tc>
          <w:tcPr>
            <w:tcW w:w="1950" w:type="dxa"/>
            <w:noWrap/>
          </w:tcPr>
          <w:p w:rsidR="00094A91" w:rsidRPr="000722DC" w:rsidRDefault="000722DC" w:rsidP="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A类：519222</w:t>
            </w:r>
          </w:p>
        </w:tc>
        <w:tc>
          <w:tcPr>
            <w:tcW w:w="6925" w:type="dxa"/>
            <w:vMerge w:val="restart"/>
          </w:tcPr>
          <w:p w:rsidR="00094A91" w:rsidRPr="000722DC" w:rsidRDefault="000722DC" w:rsidP="000722DC">
            <w:pPr>
              <w:widowControl/>
              <w:shd w:val="clear" w:color="auto" w:fill="FFFFFF"/>
              <w:spacing w:line="480" w:lineRule="auto"/>
              <w:jc w:val="center"/>
              <w:textAlignment w:val="baseline"/>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海富通欣益灵活配置混合型证券投资基金</w:t>
            </w:r>
          </w:p>
        </w:tc>
      </w:tr>
      <w:tr w:rsidR="00094A91" w:rsidRPr="000722DC">
        <w:trPr>
          <w:trHeight w:val="470"/>
        </w:trPr>
        <w:tc>
          <w:tcPr>
            <w:tcW w:w="787" w:type="dxa"/>
            <w:vMerge/>
          </w:tcPr>
          <w:p w:rsidR="00094A91" w:rsidRPr="000722DC" w:rsidRDefault="00094A91">
            <w:pPr>
              <w:spacing w:line="360" w:lineRule="auto"/>
              <w:jc w:val="center"/>
              <w:rPr>
                <w:rFonts w:ascii="宋体" w:eastAsia="宋体" w:hAnsi="宋体" w:cs="微软雅黑"/>
                <w:sz w:val="24"/>
                <w:szCs w:val="24"/>
              </w:rPr>
            </w:pP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C类：519221</w:t>
            </w:r>
          </w:p>
        </w:tc>
        <w:tc>
          <w:tcPr>
            <w:tcW w:w="6925" w:type="dxa"/>
            <w:vMerge/>
          </w:tcPr>
          <w:p w:rsidR="00094A91" w:rsidRPr="000722DC" w:rsidRDefault="00094A91">
            <w:pPr>
              <w:spacing w:line="480" w:lineRule="auto"/>
              <w:jc w:val="center"/>
              <w:rPr>
                <w:rFonts w:ascii="宋体" w:eastAsia="宋体" w:hAnsi="宋体" w:cs="微软雅黑"/>
                <w:spacing w:val="2"/>
                <w:sz w:val="24"/>
                <w:szCs w:val="24"/>
                <w:shd w:val="clear" w:color="auto" w:fill="FFFFFF"/>
              </w:rPr>
            </w:pP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9</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005485</w:t>
            </w:r>
          </w:p>
        </w:tc>
        <w:tc>
          <w:tcPr>
            <w:tcW w:w="6925" w:type="dxa"/>
          </w:tcPr>
          <w:p w:rsidR="00094A91" w:rsidRPr="000722DC" w:rsidRDefault="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海富通恒丰定期开放债券型发起式证券投资基金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10</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519033</w:t>
            </w:r>
          </w:p>
        </w:tc>
        <w:tc>
          <w:tcPr>
            <w:tcW w:w="6925" w:type="dxa"/>
          </w:tcPr>
          <w:p w:rsidR="00094A91" w:rsidRPr="000722DC" w:rsidRDefault="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海富通国策导向混合型证券投资基金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11</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 xml:space="preserve">519134 </w:t>
            </w:r>
          </w:p>
        </w:tc>
        <w:tc>
          <w:tcPr>
            <w:tcW w:w="6925" w:type="dxa"/>
          </w:tcPr>
          <w:p w:rsidR="00094A91" w:rsidRPr="000722DC" w:rsidRDefault="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海富通富祥混合型证券投资基金</w:t>
            </w:r>
          </w:p>
        </w:tc>
      </w:tr>
      <w:tr w:rsidR="00094A91" w:rsidRPr="000722DC">
        <w:trPr>
          <w:trHeight w:val="470"/>
        </w:trPr>
        <w:tc>
          <w:tcPr>
            <w:tcW w:w="787" w:type="dxa"/>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12</w:t>
            </w: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008032</w:t>
            </w:r>
          </w:p>
        </w:tc>
        <w:tc>
          <w:tcPr>
            <w:tcW w:w="6925" w:type="dxa"/>
          </w:tcPr>
          <w:p w:rsidR="00094A91" w:rsidRPr="000722DC" w:rsidRDefault="000722DC">
            <w:pPr>
              <w:spacing w:line="480" w:lineRule="auto"/>
              <w:jc w:val="center"/>
              <w:rPr>
                <w:rFonts w:ascii="宋体" w:eastAsia="宋体" w:hAnsi="宋体" w:cs="微软雅黑"/>
                <w:spacing w:val="2"/>
                <w:sz w:val="24"/>
                <w:szCs w:val="24"/>
                <w:shd w:val="clear" w:color="auto" w:fill="FFFFFF"/>
              </w:rPr>
            </w:pPr>
            <w:r w:rsidRPr="000722DC">
              <w:rPr>
                <w:rFonts w:ascii="宋体" w:eastAsia="宋体" w:hAnsi="宋体" w:cs="微软雅黑" w:hint="eastAsia"/>
                <w:spacing w:val="2"/>
                <w:sz w:val="24"/>
                <w:szCs w:val="24"/>
                <w:shd w:val="clear" w:color="auto" w:fill="FFFFFF"/>
              </w:rPr>
              <w:t>海富通裕昇三年定期开放债券型证券投资基金</w:t>
            </w:r>
          </w:p>
        </w:tc>
      </w:tr>
      <w:tr w:rsidR="00094A91" w:rsidRPr="000722DC">
        <w:trPr>
          <w:trHeight w:val="470"/>
        </w:trPr>
        <w:tc>
          <w:tcPr>
            <w:tcW w:w="787"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13</w:t>
            </w:r>
          </w:p>
        </w:tc>
        <w:tc>
          <w:tcPr>
            <w:tcW w:w="1950" w:type="dxa"/>
            <w:noWrap/>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A类：006481</w:t>
            </w:r>
          </w:p>
        </w:tc>
        <w:tc>
          <w:tcPr>
            <w:tcW w:w="6925"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海富通上海清算所中高等级短期融资券指数证券投资基金</w:t>
            </w:r>
          </w:p>
        </w:tc>
      </w:tr>
      <w:tr w:rsidR="00094A91" w:rsidRPr="000722DC">
        <w:trPr>
          <w:trHeight w:val="477"/>
        </w:trPr>
        <w:tc>
          <w:tcPr>
            <w:tcW w:w="787" w:type="dxa"/>
            <w:vMerge/>
          </w:tcPr>
          <w:p w:rsidR="00094A91" w:rsidRPr="000722DC" w:rsidRDefault="00094A91">
            <w:pPr>
              <w:spacing w:line="360" w:lineRule="auto"/>
              <w:jc w:val="center"/>
              <w:rPr>
                <w:rFonts w:ascii="宋体" w:eastAsia="宋体" w:hAnsi="宋体" w:cs="微软雅黑"/>
                <w:sz w:val="24"/>
                <w:szCs w:val="24"/>
              </w:rPr>
            </w:pP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C类：007073</w:t>
            </w:r>
          </w:p>
        </w:tc>
        <w:tc>
          <w:tcPr>
            <w:tcW w:w="6925" w:type="dxa"/>
            <w:vMerge/>
          </w:tcPr>
          <w:p w:rsidR="00094A91" w:rsidRPr="000722DC" w:rsidRDefault="00094A91">
            <w:pPr>
              <w:spacing w:line="480" w:lineRule="auto"/>
              <w:jc w:val="center"/>
              <w:rPr>
                <w:rFonts w:ascii="宋体" w:eastAsia="宋体" w:hAnsi="宋体" w:cs="微软雅黑"/>
                <w:sz w:val="24"/>
                <w:szCs w:val="24"/>
              </w:rPr>
            </w:pPr>
          </w:p>
        </w:tc>
      </w:tr>
      <w:tr w:rsidR="00094A91" w:rsidRPr="000722DC">
        <w:trPr>
          <w:trHeight w:val="470"/>
        </w:trPr>
        <w:tc>
          <w:tcPr>
            <w:tcW w:w="787"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lastRenderedPageBreak/>
              <w:t>14</w:t>
            </w:r>
          </w:p>
        </w:tc>
        <w:tc>
          <w:tcPr>
            <w:tcW w:w="1950" w:type="dxa"/>
            <w:noWrap/>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A类：010130</w:t>
            </w:r>
          </w:p>
        </w:tc>
        <w:tc>
          <w:tcPr>
            <w:tcW w:w="6925"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海富通惠增多策略一年定期开放灵活配置混合型证券投资基金</w:t>
            </w:r>
          </w:p>
        </w:tc>
      </w:tr>
      <w:tr w:rsidR="00094A91" w:rsidRPr="000722DC">
        <w:trPr>
          <w:trHeight w:val="470"/>
        </w:trPr>
        <w:tc>
          <w:tcPr>
            <w:tcW w:w="787" w:type="dxa"/>
            <w:vMerge/>
          </w:tcPr>
          <w:p w:rsidR="00094A91" w:rsidRPr="000722DC" w:rsidRDefault="00094A91" w:rsidP="000722DC">
            <w:pPr>
              <w:spacing w:line="360" w:lineRule="auto"/>
              <w:jc w:val="center"/>
              <w:rPr>
                <w:rFonts w:ascii="宋体" w:eastAsia="宋体" w:hAnsi="宋体" w:cs="微软雅黑"/>
                <w:sz w:val="24"/>
                <w:szCs w:val="24"/>
              </w:rPr>
            </w:pPr>
          </w:p>
        </w:tc>
        <w:tc>
          <w:tcPr>
            <w:tcW w:w="1950" w:type="dxa"/>
            <w:noWrap/>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C类：010131</w:t>
            </w:r>
          </w:p>
        </w:tc>
        <w:tc>
          <w:tcPr>
            <w:tcW w:w="6925" w:type="dxa"/>
            <w:vMerge/>
          </w:tcPr>
          <w:p w:rsidR="00094A91" w:rsidRPr="000722DC" w:rsidRDefault="00094A91" w:rsidP="000722DC">
            <w:pPr>
              <w:spacing w:line="360" w:lineRule="auto"/>
              <w:jc w:val="center"/>
              <w:rPr>
                <w:rFonts w:ascii="宋体" w:eastAsia="宋体" w:hAnsi="宋体" w:cs="微软雅黑"/>
                <w:sz w:val="24"/>
                <w:szCs w:val="24"/>
              </w:rPr>
            </w:pPr>
          </w:p>
        </w:tc>
      </w:tr>
      <w:tr w:rsidR="00094A91" w:rsidRPr="000722DC">
        <w:trPr>
          <w:trHeight w:val="470"/>
        </w:trPr>
        <w:tc>
          <w:tcPr>
            <w:tcW w:w="787"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15</w:t>
            </w:r>
          </w:p>
        </w:tc>
        <w:tc>
          <w:tcPr>
            <w:tcW w:w="1950" w:type="dxa"/>
            <w:noWrap/>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A类：006081</w:t>
            </w:r>
          </w:p>
        </w:tc>
        <w:tc>
          <w:tcPr>
            <w:tcW w:w="6925" w:type="dxa"/>
            <w:vMerge w:val="restart"/>
          </w:tcPr>
          <w:p w:rsidR="00094A91" w:rsidRPr="000722DC" w:rsidRDefault="000722DC" w:rsidP="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海富通电子信息传媒产业股票型证券投资基金</w:t>
            </w:r>
          </w:p>
        </w:tc>
      </w:tr>
      <w:tr w:rsidR="00094A91" w:rsidRPr="000722DC">
        <w:trPr>
          <w:trHeight w:val="470"/>
        </w:trPr>
        <w:tc>
          <w:tcPr>
            <w:tcW w:w="787" w:type="dxa"/>
            <w:vMerge/>
          </w:tcPr>
          <w:p w:rsidR="00094A91" w:rsidRPr="000722DC" w:rsidRDefault="00094A91">
            <w:pPr>
              <w:spacing w:line="360" w:lineRule="auto"/>
              <w:jc w:val="center"/>
              <w:rPr>
                <w:rFonts w:ascii="宋体" w:eastAsia="宋体" w:hAnsi="宋体" w:cs="微软雅黑"/>
                <w:sz w:val="24"/>
                <w:szCs w:val="24"/>
              </w:rPr>
            </w:pPr>
          </w:p>
        </w:tc>
        <w:tc>
          <w:tcPr>
            <w:tcW w:w="1950" w:type="dxa"/>
            <w:noWrap/>
          </w:tcPr>
          <w:p w:rsidR="00094A91" w:rsidRPr="000722DC" w:rsidRDefault="000722DC">
            <w:pPr>
              <w:spacing w:line="360" w:lineRule="auto"/>
              <w:jc w:val="center"/>
              <w:rPr>
                <w:rFonts w:ascii="宋体" w:eastAsia="宋体" w:hAnsi="宋体" w:cs="微软雅黑"/>
                <w:sz w:val="24"/>
                <w:szCs w:val="24"/>
              </w:rPr>
            </w:pPr>
            <w:r w:rsidRPr="000722DC">
              <w:rPr>
                <w:rFonts w:ascii="宋体" w:eastAsia="宋体" w:hAnsi="宋体" w:cs="微软雅黑" w:hint="eastAsia"/>
                <w:sz w:val="24"/>
                <w:szCs w:val="24"/>
              </w:rPr>
              <w:t>C类：006080</w:t>
            </w:r>
          </w:p>
        </w:tc>
        <w:tc>
          <w:tcPr>
            <w:tcW w:w="6925" w:type="dxa"/>
            <w:vMerge/>
          </w:tcPr>
          <w:p w:rsidR="00094A91" w:rsidRPr="000722DC" w:rsidRDefault="00094A91">
            <w:pPr>
              <w:spacing w:line="360" w:lineRule="auto"/>
              <w:jc w:val="center"/>
              <w:rPr>
                <w:rFonts w:ascii="宋体" w:eastAsia="宋体" w:hAnsi="宋体" w:cs="微软雅黑"/>
                <w:spacing w:val="2"/>
                <w:sz w:val="24"/>
                <w:szCs w:val="24"/>
                <w:shd w:val="clear" w:color="auto" w:fill="FFFFFF"/>
              </w:rPr>
            </w:pPr>
          </w:p>
        </w:tc>
      </w:tr>
    </w:tbl>
    <w:p w:rsidR="00094A91" w:rsidRPr="000722DC" w:rsidRDefault="00094A91">
      <w:pPr>
        <w:spacing w:line="360" w:lineRule="auto"/>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b/>
          <w:bCs/>
          <w:sz w:val="24"/>
          <w:szCs w:val="24"/>
        </w:rPr>
      </w:pPr>
      <w:r w:rsidRPr="000722DC">
        <w:rPr>
          <w:rFonts w:ascii="宋体" w:eastAsia="宋体" w:hAnsi="宋体" w:cs="微软雅黑" w:hint="eastAsia"/>
          <w:b/>
          <w:bCs/>
          <w:sz w:val="24"/>
          <w:szCs w:val="24"/>
        </w:rPr>
        <w:t>二、 业务开通时间</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自2022年8月12日起，投资者可在兴业银行办理上述开放式基金的开户、申购、赎回等业务。具体的购买端口、业务流程、办理方式和办理时间等以兴业银行的规定为准。</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b/>
          <w:bCs/>
          <w:sz w:val="24"/>
          <w:szCs w:val="24"/>
        </w:rPr>
      </w:pPr>
      <w:r w:rsidRPr="000722DC">
        <w:rPr>
          <w:rFonts w:ascii="宋体" w:eastAsia="宋体" w:hAnsi="宋体" w:cs="微软雅黑" w:hint="eastAsia"/>
          <w:b/>
          <w:bCs/>
          <w:sz w:val="24"/>
          <w:szCs w:val="24"/>
        </w:rPr>
        <w:t>三、 适用投资者范围</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符合法律法规及基金合同规定的投资者。</w:t>
      </w:r>
    </w:p>
    <w:p w:rsidR="00094A91" w:rsidRPr="000722DC" w:rsidRDefault="00094A91">
      <w:pPr>
        <w:spacing w:line="360" w:lineRule="auto"/>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b/>
          <w:bCs/>
          <w:sz w:val="24"/>
          <w:szCs w:val="24"/>
        </w:rPr>
      </w:pPr>
      <w:r w:rsidRPr="000722DC">
        <w:rPr>
          <w:rFonts w:ascii="宋体" w:eastAsia="宋体" w:hAnsi="宋体" w:cs="微软雅黑" w:hint="eastAsia"/>
          <w:b/>
          <w:bCs/>
          <w:sz w:val="24"/>
          <w:szCs w:val="24"/>
        </w:rPr>
        <w:t>四、 重要提示</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1、投资者欲了解基金的详细信息，请仔细阅读上述开放式基金的基金合同、招募说明书及相关法律文件。</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2、</w:t>
      </w:r>
      <w:r w:rsidRPr="000722DC">
        <w:rPr>
          <w:rFonts w:ascii="宋体" w:eastAsia="宋体" w:hAnsi="宋体" w:cs="微软雅黑" w:hint="eastAsia"/>
          <w:spacing w:val="2"/>
          <w:sz w:val="24"/>
          <w:szCs w:val="24"/>
          <w:shd w:val="clear" w:color="auto" w:fill="FFFFFF"/>
        </w:rPr>
        <w:t>海富通瑞祥一年定期开放债券型证券投资基金、海富通裕通30个月定期开放债券型证券投资基金、海富通一年定期开放债券型证券投资基金、海富通恒丰定期开放债券型发起式证券投资基金、海富通裕昇三年定期开放债券型证券投资基金、海富通惠增多策略一年定期开放灵活配置混合型证券投资基金</w:t>
      </w:r>
      <w:r w:rsidRPr="000722DC">
        <w:rPr>
          <w:rFonts w:ascii="宋体" w:eastAsia="宋体" w:hAnsi="宋体" w:cs="微软雅黑" w:hint="eastAsia"/>
          <w:sz w:val="24"/>
          <w:szCs w:val="24"/>
        </w:rPr>
        <w:t>的开放申购赎回安排请见本公司最新业务公告。</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3、特别提示投资人关注上述基金产品的基金合同、招募说明书等法律文件及基金管理人的风险提示。</w:t>
      </w:r>
      <w:bookmarkStart w:id="0" w:name="_GoBack"/>
      <w:bookmarkEnd w:id="0"/>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b/>
          <w:bCs/>
          <w:sz w:val="24"/>
          <w:szCs w:val="24"/>
        </w:rPr>
      </w:pPr>
      <w:r w:rsidRPr="000722DC">
        <w:rPr>
          <w:rFonts w:ascii="宋体" w:eastAsia="宋体" w:hAnsi="宋体" w:cs="微软雅黑" w:hint="eastAsia"/>
          <w:b/>
          <w:bCs/>
          <w:sz w:val="24"/>
          <w:szCs w:val="24"/>
        </w:rPr>
        <w:t>五、投资者可通过以下途径咨询有关详情：</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 xml:space="preserve">1、兴业银行股份有限公司 </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客户服务电话：95561</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网站：www.cib.com.cn</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2、海富通基金管理有限公司</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lastRenderedPageBreak/>
        <w:t>客户服务电话：40088-40099（免长途话费）</w:t>
      </w: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网站：www.hftfund.com</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本公告的解释权归海富通基金管理有限公司。</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spacing w:line="360" w:lineRule="auto"/>
        <w:ind w:firstLine="420"/>
        <w:rPr>
          <w:rFonts w:ascii="宋体" w:eastAsia="宋体" w:hAnsi="宋体" w:cs="微软雅黑"/>
          <w:sz w:val="24"/>
          <w:szCs w:val="24"/>
        </w:rPr>
      </w:pPr>
      <w:r w:rsidRPr="000722DC">
        <w:rPr>
          <w:rFonts w:ascii="宋体" w:eastAsia="宋体" w:hAnsi="宋体" w:cs="微软雅黑" w:hint="eastAsia"/>
          <w:sz w:val="24"/>
          <w:szCs w:val="24"/>
        </w:rPr>
        <w:t>特此公告。</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722DC">
      <w:pPr>
        <w:spacing w:line="360" w:lineRule="auto"/>
        <w:ind w:firstLine="420"/>
        <w:jc w:val="right"/>
        <w:rPr>
          <w:rFonts w:ascii="宋体" w:eastAsia="宋体" w:hAnsi="宋体" w:cs="微软雅黑"/>
          <w:sz w:val="24"/>
          <w:szCs w:val="24"/>
        </w:rPr>
      </w:pPr>
      <w:r w:rsidRPr="000722DC">
        <w:rPr>
          <w:rFonts w:ascii="宋体" w:eastAsia="宋体" w:hAnsi="宋体" w:cs="微软雅黑" w:hint="eastAsia"/>
          <w:sz w:val="24"/>
          <w:szCs w:val="24"/>
        </w:rPr>
        <w:t>海富通基金管理有限公司</w:t>
      </w:r>
    </w:p>
    <w:p w:rsidR="00094A91" w:rsidRPr="000722DC" w:rsidRDefault="000722DC">
      <w:pPr>
        <w:spacing w:line="360" w:lineRule="auto"/>
        <w:ind w:firstLine="420"/>
        <w:jc w:val="right"/>
        <w:rPr>
          <w:rFonts w:ascii="宋体" w:eastAsia="宋体" w:hAnsi="宋体" w:cs="微软雅黑"/>
          <w:sz w:val="24"/>
          <w:szCs w:val="24"/>
        </w:rPr>
      </w:pPr>
      <w:r w:rsidRPr="000722DC">
        <w:rPr>
          <w:rFonts w:ascii="宋体" w:eastAsia="宋体" w:hAnsi="宋体" w:cs="微软雅黑" w:hint="eastAsia"/>
          <w:sz w:val="24"/>
          <w:szCs w:val="24"/>
        </w:rPr>
        <w:t>2022年8月11日</w:t>
      </w:r>
    </w:p>
    <w:p w:rsidR="00094A91" w:rsidRPr="000722DC" w:rsidRDefault="00094A91">
      <w:pPr>
        <w:spacing w:line="360" w:lineRule="auto"/>
        <w:ind w:firstLine="420"/>
        <w:rPr>
          <w:rFonts w:ascii="宋体" w:eastAsia="宋体" w:hAnsi="宋体" w:cs="微软雅黑"/>
          <w:sz w:val="24"/>
          <w:szCs w:val="24"/>
        </w:rPr>
      </w:pPr>
    </w:p>
    <w:p w:rsidR="00094A91" w:rsidRPr="000722DC" w:rsidRDefault="00094A91">
      <w:pPr>
        <w:rPr>
          <w:rFonts w:ascii="宋体" w:eastAsia="宋体" w:hAnsi="宋体"/>
          <w:sz w:val="24"/>
          <w:szCs w:val="24"/>
        </w:rPr>
      </w:pPr>
    </w:p>
    <w:sectPr w:rsidR="00094A91" w:rsidRPr="000722DC" w:rsidSect="006549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1C854D8"/>
    <w:rsid w:val="000722DC"/>
    <w:rsid w:val="00094A91"/>
    <w:rsid w:val="00365D12"/>
    <w:rsid w:val="0065494E"/>
    <w:rsid w:val="31C85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9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54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494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1086</Characters>
  <Application>Microsoft Office Word</Application>
  <DocSecurity>4</DocSecurity>
  <Lines>9</Lines>
  <Paragraphs>2</Paragraphs>
  <ScaleCrop>false</ScaleCrop>
  <Company>Microsoft</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dc:creator>
  <cp:lastModifiedBy>ZHONGM</cp:lastModifiedBy>
  <cp:revision>2</cp:revision>
  <dcterms:created xsi:type="dcterms:W3CDTF">2022-08-10T16:01:00Z</dcterms:created>
  <dcterms:modified xsi:type="dcterms:W3CDTF">2022-08-10T16:01:00Z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