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FD" w:rsidRDefault="00A117C3">
      <w:pPr>
        <w:pStyle w:val="Default"/>
        <w:spacing w:line="360" w:lineRule="auto"/>
        <w:jc w:val="center"/>
        <w:rPr>
          <w:rStyle w:val="a8"/>
          <w:rFonts w:hAnsi="宋体"/>
          <w:sz w:val="28"/>
          <w:szCs w:val="28"/>
        </w:rPr>
      </w:pPr>
      <w:r>
        <w:rPr>
          <w:rFonts w:hAnsi="宋体" w:hint="eastAsia"/>
          <w:b/>
          <w:color w:val="auto"/>
          <w:kern w:val="2"/>
          <w:sz w:val="28"/>
          <w:szCs w:val="28"/>
        </w:rPr>
        <w:t>银华基金管理股份有限公司关于旗下部分基金增加代销机构的公告</w:t>
      </w:r>
    </w:p>
    <w:p w:rsidR="00AD6CFD" w:rsidRDefault="00A117C3">
      <w:pPr>
        <w:pStyle w:val="a6"/>
        <w:spacing w:line="360" w:lineRule="auto"/>
        <w:ind w:firstLineChars="200" w:firstLine="420"/>
        <w:rPr>
          <w:rFonts w:cs="Times New Roman"/>
          <w:sz w:val="21"/>
          <w:szCs w:val="21"/>
        </w:rPr>
      </w:pPr>
      <w:r>
        <w:rPr>
          <w:rFonts w:cs="Times New Roman" w:hint="eastAsia"/>
          <w:sz w:val="21"/>
          <w:szCs w:val="21"/>
        </w:rPr>
        <w:t>根据银华基金管理股份有限公司（以下简称“本公司”）与</w:t>
      </w:r>
      <w:r>
        <w:rPr>
          <w:rFonts w:cs="Times New Roman" w:hint="eastAsia"/>
          <w:sz w:val="21"/>
          <w:szCs w:val="21"/>
        </w:rPr>
        <w:t>泰信财富基金销售有限公司（以下简称</w:t>
      </w:r>
      <w:bookmarkStart w:id="0" w:name="_GoBack"/>
      <w:bookmarkEnd w:id="0"/>
      <w:r>
        <w:rPr>
          <w:rFonts w:cs="Times New Roman" w:hint="eastAsia"/>
          <w:sz w:val="21"/>
          <w:szCs w:val="21"/>
        </w:rPr>
        <w:t>“</w:t>
      </w:r>
      <w:r>
        <w:rPr>
          <w:rFonts w:cs="Times New Roman" w:hint="eastAsia"/>
          <w:sz w:val="21"/>
          <w:szCs w:val="21"/>
        </w:rPr>
        <w:t>泰信财富</w:t>
      </w:r>
      <w:r>
        <w:rPr>
          <w:rFonts w:cs="Times New Roman" w:hint="eastAsia"/>
          <w:sz w:val="21"/>
          <w:szCs w:val="21"/>
        </w:rPr>
        <w:t>”）</w:t>
      </w:r>
      <w:r>
        <w:rPr>
          <w:rFonts w:cs="Times New Roman" w:hint="eastAsia"/>
          <w:sz w:val="21"/>
          <w:szCs w:val="21"/>
        </w:rPr>
        <w:t>、</w:t>
      </w:r>
      <w:r>
        <w:rPr>
          <w:rFonts w:cs="Times New Roman" w:hint="eastAsia"/>
          <w:sz w:val="21"/>
          <w:szCs w:val="21"/>
        </w:rPr>
        <w:t>国信证券股份有限公司（以下简称“国信证券”）、国盛证券有限责任公司（以下简称“国盛证券”）、平安银行股份有限公司（以下简称“平安银行”）、兴业银行股份有限公司（以下简称“兴业银行”）</w:t>
      </w:r>
      <w:r>
        <w:rPr>
          <w:rFonts w:cs="Times New Roman" w:hint="eastAsia"/>
          <w:sz w:val="21"/>
          <w:szCs w:val="21"/>
        </w:rPr>
        <w:t>签署的代销</w:t>
      </w:r>
      <w:r>
        <w:rPr>
          <w:rFonts w:cs="Times New Roman" w:hint="eastAsia"/>
          <w:sz w:val="21"/>
          <w:szCs w:val="21"/>
        </w:rPr>
        <w:t>协议，自</w:t>
      </w:r>
      <w:r>
        <w:rPr>
          <w:rFonts w:cs="Times New Roman" w:hint="eastAsia"/>
          <w:sz w:val="21"/>
          <w:szCs w:val="21"/>
        </w:rPr>
        <w:t>2022</w:t>
      </w:r>
      <w:r>
        <w:rPr>
          <w:rFonts w:cs="Times New Roman" w:hint="eastAsia"/>
          <w:sz w:val="21"/>
          <w:szCs w:val="21"/>
        </w:rPr>
        <w:t>年</w:t>
      </w:r>
      <w:r>
        <w:rPr>
          <w:rFonts w:cs="Times New Roman" w:hint="eastAsia"/>
          <w:sz w:val="21"/>
          <w:szCs w:val="21"/>
        </w:rPr>
        <w:t>8</w:t>
      </w:r>
      <w:r>
        <w:rPr>
          <w:rFonts w:cs="Times New Roman" w:hint="eastAsia"/>
          <w:sz w:val="21"/>
          <w:szCs w:val="21"/>
        </w:rPr>
        <w:t>月</w:t>
      </w:r>
      <w:r>
        <w:rPr>
          <w:rFonts w:cs="Times New Roman" w:hint="eastAsia"/>
          <w:sz w:val="21"/>
          <w:szCs w:val="21"/>
        </w:rPr>
        <w:t>5</w:t>
      </w:r>
      <w:r>
        <w:rPr>
          <w:rFonts w:cs="Times New Roman" w:hint="eastAsia"/>
          <w:sz w:val="21"/>
          <w:szCs w:val="21"/>
        </w:rPr>
        <w:t>日起，增加</w:t>
      </w:r>
      <w:r>
        <w:rPr>
          <w:rFonts w:cs="Times New Roman" w:hint="eastAsia"/>
          <w:sz w:val="21"/>
          <w:szCs w:val="21"/>
        </w:rPr>
        <w:t>泰信财富、</w:t>
      </w:r>
      <w:r>
        <w:rPr>
          <w:rFonts w:cs="Times New Roman" w:hint="eastAsia"/>
          <w:sz w:val="21"/>
          <w:szCs w:val="21"/>
        </w:rPr>
        <w:t>国信证券、国盛证券、平安银行、兴业银行</w:t>
      </w:r>
      <w:r>
        <w:rPr>
          <w:rFonts w:cs="Times New Roman" w:hint="eastAsia"/>
          <w:sz w:val="21"/>
          <w:szCs w:val="21"/>
        </w:rPr>
        <w:t>为旗下部分基金的代销机构</w:t>
      </w:r>
      <w:r>
        <w:rPr>
          <w:rFonts w:cs="Times New Roman" w:hint="eastAsia"/>
          <w:sz w:val="21"/>
          <w:szCs w:val="21"/>
        </w:rPr>
        <w:t>，</w:t>
      </w:r>
      <w:r>
        <w:rPr>
          <w:rFonts w:cs="Times New Roman" w:hint="eastAsia"/>
          <w:sz w:val="21"/>
          <w:szCs w:val="21"/>
        </w:rPr>
        <w:t>同时部分基金</w:t>
      </w:r>
      <w:r>
        <w:rPr>
          <w:rFonts w:cs="Times New Roman" w:hint="eastAsia"/>
          <w:sz w:val="21"/>
          <w:szCs w:val="21"/>
        </w:rPr>
        <w:t>参加</w:t>
      </w:r>
      <w:r>
        <w:rPr>
          <w:rFonts w:cs="Times New Roman" w:hint="eastAsia"/>
          <w:sz w:val="21"/>
          <w:szCs w:val="21"/>
        </w:rPr>
        <w:t>泰信财富的</w:t>
      </w:r>
      <w:r>
        <w:rPr>
          <w:rFonts w:cs="Times New Roman" w:hint="eastAsia"/>
          <w:sz w:val="21"/>
          <w:szCs w:val="21"/>
        </w:rPr>
        <w:t>费率优惠活动</w:t>
      </w:r>
      <w:r>
        <w:rPr>
          <w:rFonts w:cs="Times New Roman" w:hint="eastAsia"/>
          <w:sz w:val="21"/>
          <w:szCs w:val="21"/>
        </w:rPr>
        <w:t>。现将有关事项公告如下：</w:t>
      </w: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color w:val="000000"/>
          <w:kern w:val="0"/>
          <w:szCs w:val="21"/>
        </w:rPr>
      </w:pPr>
      <w:r>
        <w:rPr>
          <w:rFonts w:asciiTheme="minorEastAsia" w:eastAsiaTheme="minorEastAsia" w:hAnsiTheme="minorEastAsia" w:cs="宋体" w:hint="eastAsia"/>
          <w:b/>
          <w:color w:val="000000"/>
          <w:kern w:val="0"/>
          <w:szCs w:val="21"/>
        </w:rPr>
        <w:t>泰信财富开通业务具体情况：</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4000"/>
        <w:gridCol w:w="1075"/>
        <w:gridCol w:w="1133"/>
        <w:gridCol w:w="1130"/>
        <w:gridCol w:w="1311"/>
        <w:gridCol w:w="1115"/>
      </w:tblGrid>
      <w:tr w:rsidR="00AD6CFD">
        <w:trPr>
          <w:trHeight w:val="936"/>
          <w:jc w:val="center"/>
        </w:trPr>
        <w:tc>
          <w:tcPr>
            <w:tcW w:w="665" w:type="dxa"/>
            <w:vAlign w:val="center"/>
          </w:tcPr>
          <w:p w:rsidR="00AD6CFD" w:rsidRDefault="00A117C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序号</w:t>
            </w:r>
          </w:p>
        </w:tc>
        <w:tc>
          <w:tcPr>
            <w:tcW w:w="4000" w:type="dxa"/>
            <w:vAlign w:val="center"/>
          </w:tcPr>
          <w:p w:rsidR="00AD6CFD" w:rsidRDefault="00A117C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基金</w:t>
            </w:r>
            <w:r>
              <w:rPr>
                <w:rFonts w:asciiTheme="minorEastAsia" w:eastAsiaTheme="minorEastAsia" w:hAnsiTheme="minorEastAsia" w:cstheme="minorEastAsia" w:hint="eastAsia"/>
                <w:b/>
                <w:color w:val="000000"/>
                <w:kern w:val="0"/>
                <w:szCs w:val="21"/>
              </w:rPr>
              <w:t>名称</w:t>
            </w:r>
          </w:p>
        </w:tc>
        <w:tc>
          <w:tcPr>
            <w:tcW w:w="1075" w:type="dxa"/>
            <w:vAlign w:val="center"/>
          </w:tcPr>
          <w:p w:rsidR="00AD6CFD" w:rsidRDefault="00A117C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基金</w:t>
            </w:r>
            <w:r>
              <w:rPr>
                <w:rFonts w:asciiTheme="minorEastAsia" w:eastAsiaTheme="minorEastAsia" w:hAnsiTheme="minorEastAsia" w:cstheme="minorEastAsia" w:hint="eastAsia"/>
                <w:b/>
                <w:color w:val="000000"/>
                <w:kern w:val="0"/>
                <w:szCs w:val="21"/>
              </w:rPr>
              <w:t>代码</w:t>
            </w:r>
          </w:p>
        </w:tc>
        <w:tc>
          <w:tcPr>
            <w:tcW w:w="1133" w:type="dxa"/>
            <w:vAlign w:val="center"/>
          </w:tcPr>
          <w:p w:rsidR="00AD6CFD" w:rsidRDefault="00A117C3" w:rsidP="00A117C3">
            <w:pPr>
              <w:spacing w:beforeLines="50"/>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是否开通</w:t>
            </w:r>
          </w:p>
          <w:p w:rsidR="00AD6CFD" w:rsidRDefault="00A117C3" w:rsidP="00A117C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申购</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赎回</w:t>
            </w:r>
          </w:p>
        </w:tc>
        <w:tc>
          <w:tcPr>
            <w:tcW w:w="1130" w:type="dxa"/>
            <w:vAlign w:val="center"/>
          </w:tcPr>
          <w:p w:rsidR="00AD6CFD" w:rsidRDefault="00A117C3" w:rsidP="00A117C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是否</w:t>
            </w:r>
            <w:r>
              <w:rPr>
                <w:rFonts w:asciiTheme="minorEastAsia" w:eastAsiaTheme="minorEastAsia" w:hAnsiTheme="minorEastAsia" w:cstheme="minorEastAsia" w:hint="eastAsia"/>
                <w:b/>
                <w:bCs/>
                <w:kern w:val="0"/>
                <w:szCs w:val="21"/>
              </w:rPr>
              <w:t>开放转换</w:t>
            </w:r>
          </w:p>
        </w:tc>
        <w:tc>
          <w:tcPr>
            <w:tcW w:w="1311" w:type="dxa"/>
            <w:vAlign w:val="center"/>
          </w:tcPr>
          <w:p w:rsidR="00AD6CFD" w:rsidRDefault="00A117C3" w:rsidP="00A117C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是否开通定期定额投资</w:t>
            </w:r>
          </w:p>
        </w:tc>
        <w:tc>
          <w:tcPr>
            <w:tcW w:w="1115" w:type="dxa"/>
          </w:tcPr>
          <w:p w:rsidR="00AD6CFD" w:rsidRDefault="00A117C3" w:rsidP="00A117C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是否参加费率优惠活动</w:t>
            </w:r>
          </w:p>
        </w:tc>
      </w:tr>
      <w:tr w:rsidR="00AD6CFD">
        <w:trPr>
          <w:trHeight w:val="582"/>
          <w:jc w:val="center"/>
        </w:trPr>
        <w:tc>
          <w:tcPr>
            <w:tcW w:w="665" w:type="dxa"/>
            <w:vAlign w:val="center"/>
          </w:tcPr>
          <w:p w:rsidR="00AD6CFD" w:rsidRDefault="00A117C3">
            <w:pPr>
              <w:jc w:val="left"/>
              <w:rPr>
                <w:rFonts w:asciiTheme="minorEastAsia" w:eastAsiaTheme="minorEastAsia" w:hAnsiTheme="minorEastAsia" w:cstheme="minorEastAsia"/>
                <w:szCs w:val="21"/>
              </w:rPr>
            </w:pPr>
            <w:bookmarkStart w:id="1" w:name="OLE_LINK1" w:colFirst="1" w:colLast="6"/>
            <w:r>
              <w:rPr>
                <w:rFonts w:asciiTheme="minorEastAsia" w:eastAsiaTheme="minorEastAsia" w:hAnsiTheme="minorEastAsia" w:cstheme="minorEastAsia" w:hint="eastAsia"/>
                <w:szCs w:val="21"/>
              </w:rPr>
              <w:t>1</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银华积极成长混合型证券投资基金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A:005498</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C:014045</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A:</w:t>
            </w:r>
            <w:r>
              <w:rPr>
                <w:rFonts w:asciiTheme="minorEastAsia" w:eastAsiaTheme="minorEastAsia" w:hAnsiTheme="minorEastAsia" w:cstheme="minorEastAsia" w:hint="eastAsia"/>
                <w:color w:val="000000"/>
                <w:kern w:val="0"/>
                <w:szCs w:val="21"/>
                <w:lang/>
              </w:rPr>
              <w:t>是</w:t>
            </w:r>
          </w:p>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C:</w:t>
            </w:r>
            <w:r>
              <w:rPr>
                <w:rFonts w:asciiTheme="minorEastAsia" w:eastAsiaTheme="minorEastAsia" w:hAnsiTheme="minorEastAsia" w:cstheme="minorEastAsia" w:hint="eastAsia"/>
                <w:color w:val="000000"/>
                <w:kern w:val="0"/>
                <w:szCs w:val="21"/>
                <w:lang/>
              </w:rPr>
              <w:t>否</w:t>
            </w:r>
          </w:p>
        </w:tc>
      </w:tr>
      <w:tr w:rsidR="00AD6CFD">
        <w:trPr>
          <w:trHeight w:val="582"/>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银华汇盈一年持有期混合型证券投资基金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A:008833</w:t>
            </w:r>
          </w:p>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C:008834</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AD6CFD">
        <w:trPr>
          <w:trHeight w:val="582"/>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银华中证</w:t>
            </w:r>
            <w:r>
              <w:rPr>
                <w:rFonts w:ascii="宋体" w:hAnsi="宋体" w:cs="宋体"/>
                <w:color w:val="000000"/>
                <w:kern w:val="0"/>
                <w:szCs w:val="21"/>
                <w:lang/>
              </w:rPr>
              <w:t>5G</w:t>
            </w:r>
            <w:r>
              <w:rPr>
                <w:rFonts w:ascii="宋体" w:hAnsi="宋体" w:cs="宋体"/>
                <w:color w:val="000000"/>
                <w:kern w:val="0"/>
                <w:szCs w:val="21"/>
                <w:lang/>
              </w:rPr>
              <w:t>通信主题交易型开放式指数证券投资基金联接基金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A:008889</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C:010524</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A:</w:t>
            </w:r>
            <w:r>
              <w:rPr>
                <w:rFonts w:asciiTheme="minorEastAsia" w:eastAsiaTheme="minorEastAsia" w:hAnsiTheme="minorEastAsia" w:cstheme="minorEastAsia" w:hint="eastAsia"/>
                <w:color w:val="000000"/>
                <w:kern w:val="0"/>
                <w:szCs w:val="21"/>
                <w:lang/>
              </w:rPr>
              <w:t>是</w:t>
            </w:r>
          </w:p>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C:</w:t>
            </w:r>
            <w:r>
              <w:rPr>
                <w:rFonts w:asciiTheme="minorEastAsia" w:eastAsiaTheme="minorEastAsia" w:hAnsiTheme="minorEastAsia" w:cstheme="minorEastAsia" w:hint="eastAsia"/>
                <w:color w:val="000000"/>
                <w:kern w:val="0"/>
                <w:szCs w:val="21"/>
                <w:lang/>
              </w:rPr>
              <w:t>否</w:t>
            </w:r>
          </w:p>
        </w:tc>
      </w:tr>
      <w:tr w:rsidR="00AD6CFD">
        <w:trPr>
          <w:trHeight w:val="582"/>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银华丰享一年持有期混合型证券投资基金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009085</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银华招利一年持有期混合型证券投资基金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A:009977</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C:009978</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A:</w:t>
            </w:r>
            <w:r>
              <w:rPr>
                <w:rFonts w:asciiTheme="minorEastAsia" w:eastAsiaTheme="minorEastAsia" w:hAnsiTheme="minorEastAsia" w:cstheme="minorEastAsia" w:hint="eastAsia"/>
                <w:color w:val="000000"/>
                <w:kern w:val="0"/>
                <w:szCs w:val="21"/>
                <w:lang/>
              </w:rPr>
              <w:t>是</w:t>
            </w:r>
          </w:p>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C:</w:t>
            </w:r>
            <w:r>
              <w:rPr>
                <w:rFonts w:asciiTheme="minorEastAsia" w:eastAsiaTheme="minorEastAsia" w:hAnsiTheme="minorEastAsia" w:cstheme="minorEastAsia" w:hint="eastAsia"/>
                <w:color w:val="000000"/>
                <w:kern w:val="0"/>
                <w:szCs w:val="21"/>
                <w:lang/>
              </w:rPr>
              <w:t>否</w:t>
            </w:r>
          </w:p>
        </w:tc>
      </w:tr>
      <w:tr w:rsidR="00AD6CFD">
        <w:trPr>
          <w:trHeight w:val="759"/>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银华远兴一年持有期债券型证券投资基金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010816</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银华稳健增长一年持有期混合型证券投资基金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011405</w:t>
            </w:r>
          </w:p>
        </w:tc>
        <w:tc>
          <w:tcPr>
            <w:tcW w:w="1133" w:type="dxa"/>
            <w:vAlign w:val="center"/>
          </w:tcPr>
          <w:p w:rsidR="00AD6CFD" w:rsidRDefault="00A117C3">
            <w:pPr>
              <w:widowControl/>
              <w:jc w:val="center"/>
              <w:textAlignment w:val="bottom"/>
              <w:rPr>
                <w:rStyle w:val="font01"/>
                <w:rFonts w:asciiTheme="minorEastAsia" w:eastAsiaTheme="minorEastAsia" w:hAnsiTheme="minorEastAsia" w:cstheme="minorEastAsia" w:hint="default"/>
                <w:sz w:val="21"/>
                <w:szCs w:val="21"/>
                <w:lang/>
              </w:rPr>
            </w:pPr>
            <w:r>
              <w:rPr>
                <w:rStyle w:val="font01"/>
                <w:rFonts w:asciiTheme="minorEastAsia" w:eastAsiaTheme="minorEastAsia" w:hAnsiTheme="minorEastAsia" w:cstheme="minorEastAsia"/>
                <w:sz w:val="21"/>
                <w:szCs w:val="21"/>
                <w:lang/>
              </w:rPr>
              <w:t>是</w:t>
            </w:r>
          </w:p>
        </w:tc>
        <w:tc>
          <w:tcPr>
            <w:tcW w:w="1130" w:type="dxa"/>
            <w:vAlign w:val="center"/>
          </w:tcPr>
          <w:p w:rsidR="00AD6CFD" w:rsidRDefault="00A117C3">
            <w:pPr>
              <w:widowControl/>
              <w:jc w:val="center"/>
              <w:textAlignment w:val="bottom"/>
              <w:rPr>
                <w:rStyle w:val="font01"/>
                <w:rFonts w:asciiTheme="minorEastAsia" w:eastAsiaTheme="minorEastAsia" w:hAnsiTheme="minorEastAsia" w:cstheme="minorEastAsia" w:hint="default"/>
                <w:sz w:val="21"/>
                <w:szCs w:val="21"/>
                <w:lang/>
              </w:rPr>
            </w:pPr>
            <w:r>
              <w:rPr>
                <w:rStyle w:val="font01"/>
                <w:rFonts w:asciiTheme="minorEastAsia" w:eastAsiaTheme="minorEastAsia" w:hAnsiTheme="minorEastAsia" w:cstheme="minorEastAsia"/>
                <w:sz w:val="21"/>
                <w:szCs w:val="21"/>
                <w:lang/>
              </w:rPr>
              <w:t>是</w:t>
            </w:r>
          </w:p>
        </w:tc>
        <w:tc>
          <w:tcPr>
            <w:tcW w:w="1311" w:type="dxa"/>
            <w:vAlign w:val="center"/>
          </w:tcPr>
          <w:p w:rsidR="00AD6CFD" w:rsidRDefault="00A117C3">
            <w:pPr>
              <w:widowControl/>
              <w:jc w:val="center"/>
              <w:textAlignment w:val="bottom"/>
              <w:rPr>
                <w:rStyle w:val="font01"/>
                <w:rFonts w:asciiTheme="minorEastAsia" w:eastAsiaTheme="minorEastAsia" w:hAnsiTheme="minorEastAsia" w:cstheme="minorEastAsia" w:hint="default"/>
                <w:sz w:val="21"/>
                <w:szCs w:val="21"/>
                <w:lang/>
              </w:rPr>
            </w:pPr>
            <w:r>
              <w:rPr>
                <w:rStyle w:val="font01"/>
                <w:rFonts w:asciiTheme="minorEastAsia" w:eastAsiaTheme="minorEastAsia" w:hAnsiTheme="minorEastAsia" w:cstheme="minorEastAsia"/>
                <w:sz w:val="21"/>
                <w:szCs w:val="21"/>
                <w:lang/>
              </w:rPr>
              <w:t>是</w:t>
            </w:r>
          </w:p>
        </w:tc>
        <w:tc>
          <w:tcPr>
            <w:tcW w:w="1115" w:type="dxa"/>
            <w:vAlign w:val="center"/>
          </w:tcPr>
          <w:p w:rsidR="00AD6CFD" w:rsidRDefault="00A117C3">
            <w:pPr>
              <w:widowControl/>
              <w:jc w:val="center"/>
              <w:textAlignment w:val="bottom"/>
              <w:rPr>
                <w:rStyle w:val="font01"/>
                <w:rFonts w:asciiTheme="minorEastAsia" w:eastAsiaTheme="minorEastAsia" w:hAnsiTheme="minorEastAsia" w:cstheme="minorEastAsia" w:hint="default"/>
                <w:sz w:val="21"/>
                <w:szCs w:val="21"/>
                <w:lang/>
              </w:rPr>
            </w:pPr>
            <w:r>
              <w:rPr>
                <w:rStyle w:val="font01"/>
                <w:rFonts w:asciiTheme="minorEastAsia" w:eastAsiaTheme="minorEastAsia" w:hAnsiTheme="minorEastAsia" w:cstheme="minorEastAsia"/>
                <w:sz w:val="21"/>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银华华智三个月持有期混合型基金中基金</w:t>
            </w:r>
            <w:r>
              <w:rPr>
                <w:rFonts w:ascii="宋体" w:hAnsi="宋体" w:cs="宋体"/>
                <w:color w:val="000000"/>
                <w:kern w:val="0"/>
                <w:szCs w:val="21"/>
                <w:lang/>
              </w:rPr>
              <w:t>(FOF)</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011600</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否</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银华瑞祥一年持有期混合型证券投资基金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011733</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银华长荣混合型证券投资基金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011855</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银华安盛混合型证券投资基金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012502</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12</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银华中证光伏产业交易型开放式指数证券投资基金发起式联接基金</w:t>
            </w:r>
          </w:p>
        </w:tc>
        <w:tc>
          <w:tcPr>
            <w:tcW w:w="107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A:012928</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C:012929</w:t>
            </w:r>
          </w:p>
        </w:tc>
        <w:tc>
          <w:tcPr>
            <w:tcW w:w="1133"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A:</w:t>
            </w:r>
            <w:r>
              <w:rPr>
                <w:rFonts w:asciiTheme="minorEastAsia" w:eastAsiaTheme="minorEastAsia" w:hAnsiTheme="minorEastAsia" w:cstheme="minorEastAsia" w:hint="eastAsia"/>
                <w:color w:val="000000"/>
                <w:kern w:val="0"/>
                <w:szCs w:val="21"/>
                <w:lang/>
              </w:rPr>
              <w:t>是</w:t>
            </w:r>
          </w:p>
          <w:p w:rsidR="00AD6CFD" w:rsidRDefault="00A117C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C:</w:t>
            </w:r>
            <w:r>
              <w:rPr>
                <w:rFonts w:asciiTheme="minorEastAsia" w:eastAsiaTheme="minorEastAsia" w:hAnsiTheme="minorEastAsia" w:cstheme="minorEastAsia" w:hint="eastAsia"/>
                <w:color w:val="000000"/>
                <w:kern w:val="0"/>
                <w:szCs w:val="21"/>
                <w:lang/>
              </w:rPr>
              <w:t>否</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银华永丰债券型证券投资基金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013498</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银华季季盈</w:t>
            </w:r>
            <w:r>
              <w:rPr>
                <w:rFonts w:ascii="宋体" w:hAnsi="宋体" w:cs="宋体" w:hint="eastAsia"/>
                <w:color w:val="000000"/>
                <w:kern w:val="0"/>
                <w:szCs w:val="21"/>
                <w:lang/>
              </w:rPr>
              <w:t>3</w:t>
            </w:r>
            <w:r>
              <w:rPr>
                <w:rFonts w:ascii="宋体" w:hAnsi="宋体" w:cs="宋体" w:hint="eastAsia"/>
                <w:color w:val="000000"/>
                <w:kern w:val="0"/>
                <w:szCs w:val="21"/>
                <w:lang/>
              </w:rPr>
              <w:t>个月滚动持有债券型证券投资基金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A:013563</w:t>
            </w:r>
          </w:p>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B:013564</w:t>
            </w:r>
          </w:p>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C:013565</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B:</w:t>
            </w:r>
            <w:r>
              <w:rPr>
                <w:rFonts w:ascii="宋体" w:hAnsi="宋体" w:cs="宋体" w:hint="eastAsia"/>
                <w:color w:val="000000"/>
                <w:kern w:val="0"/>
                <w:szCs w:val="21"/>
                <w:lang/>
              </w:rPr>
              <w:t>否</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银华全球新能源车量化优选股票型发起式证券投资基金</w:t>
            </w:r>
            <w:r>
              <w:rPr>
                <w:rFonts w:ascii="宋体" w:hAnsi="宋体" w:cs="宋体"/>
                <w:color w:val="000000"/>
                <w:kern w:val="0"/>
                <w:szCs w:val="21"/>
                <w:lang/>
              </w:rPr>
              <w:t>(QDII)</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A:015204</w:t>
            </w:r>
          </w:p>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C:015205</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银华鑫峰混合型证券投资基金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A:015305</w:t>
            </w:r>
          </w:p>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C:015306</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银华交易型货币市场基金</w:t>
            </w:r>
            <w:r>
              <w:rPr>
                <w:rFonts w:ascii="宋体" w:hAnsi="宋体" w:cs="宋体" w:hint="eastAsia"/>
                <w:color w:val="000000"/>
                <w:kern w:val="0"/>
                <w:szCs w:val="21"/>
                <w:lang/>
              </w:rPr>
              <w:t>C</w:t>
            </w:r>
            <w:r>
              <w:rPr>
                <w:rFonts w:ascii="宋体" w:hAnsi="宋体" w:cs="宋体" w:hint="eastAsia"/>
                <w:color w:val="000000"/>
                <w:kern w:val="0"/>
                <w:szCs w:val="21"/>
                <w:lang/>
              </w:rPr>
              <w:t>类基金份额</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015557</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r>
      <w:tr w:rsidR="00AD6CFD">
        <w:trPr>
          <w:trHeight w:val="726"/>
          <w:jc w:val="center"/>
        </w:trPr>
        <w:tc>
          <w:tcPr>
            <w:tcW w:w="66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18</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银华中证同业存单</w:t>
            </w:r>
            <w:r>
              <w:rPr>
                <w:rFonts w:ascii="宋体" w:hAnsi="宋体" w:cs="宋体" w:hint="eastAsia"/>
                <w:color w:val="000000"/>
                <w:kern w:val="0"/>
                <w:szCs w:val="21"/>
                <w:lang/>
              </w:rPr>
              <w:t>AAA</w:t>
            </w:r>
            <w:r>
              <w:rPr>
                <w:rFonts w:ascii="宋体" w:hAnsi="宋体" w:cs="宋体" w:hint="eastAsia"/>
                <w:color w:val="000000"/>
                <w:kern w:val="0"/>
                <w:szCs w:val="21"/>
                <w:lang/>
              </w:rPr>
              <w:t>指数</w:t>
            </w:r>
            <w:r>
              <w:rPr>
                <w:rFonts w:ascii="宋体" w:hAnsi="宋体" w:cs="宋体" w:hint="eastAsia"/>
                <w:color w:val="000000"/>
                <w:kern w:val="0"/>
                <w:szCs w:val="21"/>
                <w:lang/>
              </w:rPr>
              <w:t>7</w:t>
            </w:r>
            <w:r>
              <w:rPr>
                <w:rFonts w:ascii="宋体" w:hAnsi="宋体" w:cs="宋体" w:hint="eastAsia"/>
                <w:color w:val="000000"/>
                <w:kern w:val="0"/>
                <w:szCs w:val="21"/>
                <w:lang/>
              </w:rPr>
              <w:t>天持有期证券投资基金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015823</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银华沪深</w:t>
            </w:r>
            <w:r>
              <w:rPr>
                <w:rFonts w:ascii="宋体" w:hAnsi="宋体" w:cs="宋体" w:hint="eastAsia"/>
                <w:color w:val="000000"/>
                <w:kern w:val="0"/>
                <w:szCs w:val="21"/>
                <w:lang/>
              </w:rPr>
              <w:t>300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161811</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银华深证</w:t>
            </w:r>
            <w:r>
              <w:rPr>
                <w:rFonts w:ascii="宋体" w:hAnsi="宋体" w:cs="宋体" w:hint="eastAsia"/>
                <w:color w:val="000000"/>
                <w:kern w:val="0"/>
                <w:szCs w:val="21"/>
                <w:lang/>
              </w:rPr>
              <w:t>100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161812</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银华中证等权重</w:t>
            </w:r>
            <w:r>
              <w:rPr>
                <w:rFonts w:ascii="宋体" w:hAnsi="宋体" w:cs="宋体" w:hint="eastAsia"/>
                <w:color w:val="000000"/>
                <w:kern w:val="0"/>
                <w:szCs w:val="21"/>
                <w:lang/>
              </w:rPr>
              <w:t>90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161816</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tr w:rsidR="00AD6CFD">
        <w:trPr>
          <w:trHeight w:val="726"/>
          <w:jc w:val="center"/>
        </w:trPr>
        <w:tc>
          <w:tcPr>
            <w:tcW w:w="665" w:type="dxa"/>
            <w:vAlign w:val="center"/>
          </w:tcPr>
          <w:p w:rsidR="00AD6CFD" w:rsidRDefault="00A117C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c>
          <w:tcPr>
            <w:tcW w:w="4000"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银华永祥灵活配置混合型证券投资基金</w:t>
            </w:r>
          </w:p>
        </w:tc>
        <w:tc>
          <w:tcPr>
            <w:tcW w:w="1075" w:type="dxa"/>
            <w:vAlign w:val="center"/>
          </w:tcPr>
          <w:p w:rsidR="00AD6CFD" w:rsidRDefault="00A117C3">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180028</w:t>
            </w:r>
          </w:p>
        </w:tc>
        <w:tc>
          <w:tcPr>
            <w:tcW w:w="1133"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30"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311"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c>
          <w:tcPr>
            <w:tcW w:w="1115" w:type="dxa"/>
            <w:vAlign w:val="center"/>
          </w:tcPr>
          <w:p w:rsidR="00AD6CFD" w:rsidRDefault="00A117C3">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是</w:t>
            </w:r>
          </w:p>
        </w:tc>
      </w:tr>
      <w:bookmarkEnd w:id="1"/>
    </w:tbl>
    <w:p w:rsidR="00AD6CFD" w:rsidRDefault="00AD6CFD">
      <w:pPr>
        <w:autoSpaceDE w:val="0"/>
        <w:autoSpaceDN w:val="0"/>
        <w:adjustRightInd w:val="0"/>
        <w:spacing w:line="360" w:lineRule="auto"/>
        <w:rPr>
          <w:rFonts w:asciiTheme="minorEastAsia" w:eastAsiaTheme="minorEastAsia" w:hAnsiTheme="minorEastAsia" w:cs="宋体"/>
          <w:color w:val="000000"/>
          <w:kern w:val="0"/>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泰信财富费率优惠活动：</w:t>
      </w:r>
    </w:p>
    <w:p w:rsidR="00AD6CFD" w:rsidRDefault="00A117C3">
      <w:pPr>
        <w:spacing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、优惠活动时间</w:t>
      </w:r>
    </w:p>
    <w:p w:rsidR="00AD6CFD" w:rsidRDefault="00A117C3">
      <w:pPr>
        <w:spacing w:line="360" w:lineRule="auto"/>
        <w:ind w:firstLineChars="200" w:firstLine="420"/>
        <w:rPr>
          <w:rFonts w:ascii="宋体" w:hAnsi="宋体"/>
          <w:bCs/>
          <w:color w:val="000000"/>
          <w:szCs w:val="21"/>
        </w:rPr>
      </w:pPr>
      <w:r>
        <w:rPr>
          <w:rFonts w:ascii="宋体" w:hAnsi="宋体" w:hint="eastAsia"/>
          <w:bCs/>
          <w:color w:val="000000"/>
          <w:szCs w:val="21"/>
        </w:rPr>
        <w:t>自</w:t>
      </w:r>
      <w:r>
        <w:rPr>
          <w:rFonts w:ascii="宋体" w:hAnsi="宋体" w:hint="eastAsia"/>
          <w:bCs/>
          <w:color w:val="000000"/>
          <w:szCs w:val="21"/>
        </w:rPr>
        <w:t>2022</w:t>
      </w:r>
      <w:r>
        <w:rPr>
          <w:rFonts w:ascii="宋体" w:hAnsi="宋体" w:hint="eastAsia"/>
          <w:bCs/>
          <w:color w:val="000000"/>
          <w:szCs w:val="21"/>
        </w:rPr>
        <w:t>年</w:t>
      </w:r>
      <w:r>
        <w:rPr>
          <w:rFonts w:ascii="宋体" w:hAnsi="宋体" w:hint="eastAsia"/>
          <w:bCs/>
          <w:color w:val="000000"/>
          <w:szCs w:val="21"/>
        </w:rPr>
        <w:t>8</w:t>
      </w:r>
      <w:r>
        <w:rPr>
          <w:rFonts w:ascii="宋体" w:hAnsi="宋体" w:hint="eastAsia"/>
          <w:bCs/>
          <w:color w:val="000000"/>
          <w:szCs w:val="21"/>
        </w:rPr>
        <w:t>月</w:t>
      </w:r>
      <w:r>
        <w:rPr>
          <w:rFonts w:ascii="宋体" w:hAnsi="宋体" w:hint="eastAsia"/>
          <w:bCs/>
          <w:color w:val="000000"/>
          <w:szCs w:val="21"/>
        </w:rPr>
        <w:t>5</w:t>
      </w:r>
      <w:r>
        <w:rPr>
          <w:rFonts w:ascii="宋体" w:hAnsi="宋体" w:hint="eastAsia"/>
          <w:bCs/>
          <w:color w:val="000000"/>
          <w:szCs w:val="21"/>
        </w:rPr>
        <w:t>日起持续进行</w:t>
      </w:r>
      <w:r>
        <w:rPr>
          <w:rFonts w:ascii="宋体" w:hAnsi="宋体" w:hint="eastAsia"/>
          <w:bCs/>
          <w:color w:val="000000"/>
          <w:szCs w:val="21"/>
        </w:rPr>
        <w:t>，结束时间另行公告。</w:t>
      </w:r>
    </w:p>
    <w:p w:rsidR="00AD6CFD" w:rsidRDefault="00A117C3">
      <w:pPr>
        <w:spacing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、适用投资者范围</w:t>
      </w:r>
    </w:p>
    <w:p w:rsidR="00AD6CFD" w:rsidRDefault="00A117C3">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w:t>
      </w:r>
      <w:r>
        <w:rPr>
          <w:rFonts w:ascii="宋体" w:hAnsi="宋体" w:hint="eastAsia"/>
          <w:bCs/>
          <w:color w:val="000000"/>
          <w:szCs w:val="21"/>
        </w:rPr>
        <w:t>泰信财富</w:t>
      </w:r>
      <w:r>
        <w:rPr>
          <w:rFonts w:ascii="宋体" w:hAnsi="宋体" w:hint="eastAsia"/>
          <w:bCs/>
          <w:color w:val="000000"/>
          <w:szCs w:val="21"/>
        </w:rPr>
        <w:t>申购（含定期定额投资）上述基金的投资者。</w:t>
      </w:r>
    </w:p>
    <w:p w:rsidR="00AD6CFD" w:rsidRDefault="00A117C3">
      <w:pPr>
        <w:spacing w:line="360" w:lineRule="auto"/>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bCs/>
          <w:color w:val="000000"/>
          <w:szCs w:val="21"/>
        </w:rPr>
        <w:t>、费率优惠内容</w:t>
      </w:r>
    </w:p>
    <w:p w:rsidR="00AD6CFD" w:rsidRDefault="00A117C3">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w:t>
      </w:r>
      <w:r>
        <w:rPr>
          <w:rFonts w:ascii="宋体" w:hAnsi="宋体" w:hint="eastAsia"/>
          <w:bCs/>
          <w:color w:val="000000"/>
          <w:szCs w:val="21"/>
        </w:rPr>
        <w:t>泰信财富</w:t>
      </w:r>
      <w:r>
        <w:rPr>
          <w:rFonts w:ascii="宋体" w:hAnsi="宋体" w:hint="eastAsia"/>
          <w:bCs/>
          <w:color w:val="000000"/>
          <w:szCs w:val="21"/>
        </w:rPr>
        <w:t>办理上述基金（仅限场外前端模式）申购（含定期定额投资）的投资者，费率</w:t>
      </w:r>
      <w:r>
        <w:rPr>
          <w:rFonts w:ascii="宋体" w:hAnsi="宋体" w:cs="宋体" w:hint="eastAsia"/>
          <w:color w:val="000000"/>
          <w:kern w:val="0"/>
          <w:szCs w:val="21"/>
        </w:rPr>
        <w:t>折扣以</w:t>
      </w:r>
      <w:r>
        <w:rPr>
          <w:rFonts w:ascii="宋体" w:hAnsi="宋体" w:cs="宋体" w:hint="eastAsia"/>
          <w:color w:val="000000"/>
          <w:kern w:val="0"/>
          <w:szCs w:val="21"/>
        </w:rPr>
        <w:t>泰信财富</w:t>
      </w:r>
      <w:r>
        <w:rPr>
          <w:rFonts w:ascii="宋体" w:hAnsi="宋体" w:cs="宋体" w:hint="eastAsia"/>
          <w:color w:val="000000"/>
          <w:kern w:val="0"/>
          <w:szCs w:val="21"/>
        </w:rPr>
        <w:t>具体安排为准</w:t>
      </w:r>
      <w:r>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AD6CFD" w:rsidRDefault="00A117C3">
      <w:pPr>
        <w:autoSpaceDE w:val="0"/>
        <w:autoSpaceDN w:val="0"/>
        <w:adjustRightInd w:val="0"/>
        <w:spacing w:line="360" w:lineRule="auto"/>
        <w:rPr>
          <w:rFonts w:asciiTheme="minorEastAsia" w:eastAsiaTheme="minorEastAsia" w:hAnsiTheme="minorEastAsia" w:cs="宋体"/>
          <w:color w:val="000000"/>
          <w:kern w:val="0"/>
          <w:szCs w:val="21"/>
        </w:rPr>
      </w:pPr>
      <w:r>
        <w:rPr>
          <w:rFonts w:ascii="宋体" w:hAnsi="宋体" w:hint="eastAsia"/>
          <w:bCs/>
          <w:color w:val="000000"/>
          <w:szCs w:val="21"/>
        </w:rPr>
        <w:lastRenderedPageBreak/>
        <w:t>本费率优惠活动内容的解释权</w:t>
      </w:r>
      <w:r>
        <w:rPr>
          <w:rFonts w:ascii="宋体" w:hAnsi="宋体" w:hint="eastAsia"/>
          <w:bCs/>
          <w:color w:val="000000"/>
          <w:szCs w:val="21"/>
        </w:rPr>
        <w:t>归</w:t>
      </w:r>
      <w:r>
        <w:rPr>
          <w:rFonts w:ascii="宋体" w:hAnsi="宋体" w:hint="eastAsia"/>
          <w:bCs/>
          <w:color w:val="000000"/>
          <w:szCs w:val="21"/>
        </w:rPr>
        <w:t>泰信财富</w:t>
      </w:r>
      <w:r>
        <w:rPr>
          <w:rFonts w:ascii="宋体" w:hAnsi="宋体" w:hint="eastAsia"/>
          <w:bCs/>
          <w:color w:val="000000"/>
          <w:szCs w:val="21"/>
        </w:rPr>
        <w:t>，费率优惠活动内容执行期间，业务办理的相关规则及流程以</w:t>
      </w:r>
      <w:r>
        <w:rPr>
          <w:rFonts w:ascii="宋体" w:hAnsi="宋体" w:hint="eastAsia"/>
          <w:bCs/>
          <w:color w:val="000000"/>
          <w:szCs w:val="21"/>
        </w:rPr>
        <w:t>泰信财富</w:t>
      </w:r>
      <w:r>
        <w:rPr>
          <w:rFonts w:ascii="宋体" w:hAnsi="宋体" w:hint="eastAsia"/>
          <w:bCs/>
          <w:color w:val="000000"/>
          <w:szCs w:val="21"/>
        </w:rPr>
        <w:t>的安排和规定为准。</w:t>
      </w:r>
    </w:p>
    <w:p w:rsidR="00AD6CFD" w:rsidRDefault="00AD6CFD">
      <w:pPr>
        <w:autoSpaceDE w:val="0"/>
        <w:autoSpaceDN w:val="0"/>
        <w:adjustRightInd w:val="0"/>
        <w:spacing w:line="360" w:lineRule="auto"/>
        <w:rPr>
          <w:rFonts w:asciiTheme="minorEastAsia" w:eastAsiaTheme="minorEastAsia" w:hAnsiTheme="minorEastAsia" w:cs="宋体"/>
          <w:color w:val="000000"/>
          <w:kern w:val="0"/>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国信证券开通业务具体情况：</w:t>
      </w:r>
    </w:p>
    <w:tbl>
      <w:tblPr>
        <w:tblpPr w:leftFromText="180" w:rightFromText="180" w:vertAnchor="text" w:horzAnchor="page" w:tblpXSpec="center" w:tblpY="225"/>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928"/>
        <w:gridCol w:w="1137"/>
        <w:gridCol w:w="1004"/>
        <w:gridCol w:w="988"/>
        <w:gridCol w:w="1287"/>
        <w:gridCol w:w="1176"/>
      </w:tblGrid>
      <w:tr w:rsidR="00AD6CFD">
        <w:trPr>
          <w:jc w:val="center"/>
        </w:trPr>
        <w:tc>
          <w:tcPr>
            <w:tcW w:w="660"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编号</w:t>
            </w:r>
          </w:p>
        </w:tc>
        <w:tc>
          <w:tcPr>
            <w:tcW w:w="2928"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3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004"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是否开通申购</w:t>
            </w:r>
          </w:p>
        </w:tc>
        <w:tc>
          <w:tcPr>
            <w:tcW w:w="988"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是否开通赎回</w:t>
            </w:r>
          </w:p>
        </w:tc>
        <w:tc>
          <w:tcPr>
            <w:tcW w:w="128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是否开通定期定额投资</w:t>
            </w:r>
          </w:p>
        </w:tc>
        <w:tc>
          <w:tcPr>
            <w:tcW w:w="1176"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是否开通转换业务</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1</w:t>
            </w:r>
          </w:p>
        </w:tc>
        <w:tc>
          <w:tcPr>
            <w:tcW w:w="2928" w:type="dxa"/>
            <w:vAlign w:val="center"/>
          </w:tcPr>
          <w:p w:rsidR="00AD6CFD" w:rsidRDefault="00A117C3">
            <w:pPr>
              <w:jc w:val="left"/>
              <w:rPr>
                <w:rFonts w:ascii="宋体" w:hAnsi="宋体"/>
                <w:szCs w:val="21"/>
              </w:rPr>
            </w:pPr>
            <w:r>
              <w:rPr>
                <w:rFonts w:hAnsi="宋体" w:hint="eastAsia"/>
                <w:szCs w:val="21"/>
              </w:rPr>
              <w:t>银华盛利混合型发起式证券投资基金</w:t>
            </w:r>
          </w:p>
        </w:tc>
        <w:tc>
          <w:tcPr>
            <w:tcW w:w="1137"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006348</w:t>
            </w:r>
          </w:p>
          <w:p w:rsidR="00AD6CFD" w:rsidRDefault="00A117C3">
            <w:pPr>
              <w:jc w:val="center"/>
              <w:rPr>
                <w:rFonts w:ascii="宋体" w:hAnsi="宋体" w:cs="宋体"/>
                <w:color w:val="000000"/>
                <w:szCs w:val="21"/>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015684</w:t>
            </w:r>
          </w:p>
        </w:tc>
        <w:tc>
          <w:tcPr>
            <w:tcW w:w="1004"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r>
    </w:tbl>
    <w:p w:rsidR="00AD6CFD" w:rsidRDefault="00AD6CFD">
      <w:pPr>
        <w:pStyle w:val="-11"/>
        <w:autoSpaceDE w:val="0"/>
        <w:autoSpaceDN w:val="0"/>
        <w:adjustRightInd w:val="0"/>
        <w:spacing w:before="50" w:line="360" w:lineRule="auto"/>
        <w:ind w:firstLineChars="0" w:firstLine="0"/>
        <w:jc w:val="left"/>
        <w:rPr>
          <w:rFonts w:hAnsi="宋体"/>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国盛证券开通业务具体情况：</w:t>
      </w:r>
    </w:p>
    <w:tbl>
      <w:tblPr>
        <w:tblpPr w:leftFromText="180" w:rightFromText="180" w:vertAnchor="text" w:horzAnchor="page" w:tblpXSpec="center" w:tblpY="225"/>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928"/>
        <w:gridCol w:w="1137"/>
        <w:gridCol w:w="1004"/>
        <w:gridCol w:w="988"/>
        <w:gridCol w:w="1287"/>
        <w:gridCol w:w="1176"/>
      </w:tblGrid>
      <w:tr w:rsidR="00AD6CFD">
        <w:trPr>
          <w:jc w:val="center"/>
        </w:trPr>
        <w:tc>
          <w:tcPr>
            <w:tcW w:w="660"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编号</w:t>
            </w:r>
          </w:p>
        </w:tc>
        <w:tc>
          <w:tcPr>
            <w:tcW w:w="2928"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3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004"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是否开通申购</w:t>
            </w:r>
          </w:p>
        </w:tc>
        <w:tc>
          <w:tcPr>
            <w:tcW w:w="988"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是否开通赎回</w:t>
            </w:r>
          </w:p>
        </w:tc>
        <w:tc>
          <w:tcPr>
            <w:tcW w:w="128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是否开通定期定额投资</w:t>
            </w:r>
          </w:p>
        </w:tc>
        <w:tc>
          <w:tcPr>
            <w:tcW w:w="1176"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是否开通转换业务</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1</w:t>
            </w:r>
          </w:p>
        </w:tc>
        <w:tc>
          <w:tcPr>
            <w:tcW w:w="2928" w:type="dxa"/>
            <w:vAlign w:val="center"/>
          </w:tcPr>
          <w:p w:rsidR="00AD6CFD" w:rsidRDefault="00A117C3">
            <w:pPr>
              <w:jc w:val="left"/>
              <w:rPr>
                <w:rFonts w:ascii="宋体" w:hAnsi="宋体"/>
                <w:szCs w:val="21"/>
              </w:rPr>
            </w:pPr>
            <w:r>
              <w:rPr>
                <w:rFonts w:ascii="宋体" w:hAnsi="宋体" w:cs="宋体"/>
                <w:szCs w:val="21"/>
              </w:rPr>
              <w:t>银华盛世精选灵活配置混合型发起式证券投资基金</w:t>
            </w:r>
          </w:p>
        </w:tc>
        <w:tc>
          <w:tcPr>
            <w:tcW w:w="1137" w:type="dxa"/>
            <w:vAlign w:val="center"/>
          </w:tcPr>
          <w:p w:rsidR="00AD6CFD" w:rsidRDefault="00A117C3">
            <w:pPr>
              <w:jc w:val="center"/>
              <w:rPr>
                <w:rFonts w:ascii="宋体" w:hAnsi="宋体"/>
                <w:bCs/>
                <w:color w:val="000000"/>
                <w:szCs w:val="21"/>
              </w:rPr>
            </w:pPr>
            <w:r>
              <w:rPr>
                <w:rFonts w:ascii="宋体" w:hAnsi="宋体" w:hint="eastAsia"/>
                <w:bCs/>
                <w:color w:val="000000"/>
                <w:szCs w:val="21"/>
              </w:rPr>
              <w:t>A</w:t>
            </w:r>
            <w:r>
              <w:rPr>
                <w:rFonts w:ascii="宋体" w:hAnsi="宋体" w:hint="eastAsia"/>
                <w:bCs/>
                <w:color w:val="000000"/>
                <w:szCs w:val="21"/>
              </w:rPr>
              <w:t>：</w:t>
            </w:r>
            <w:r>
              <w:rPr>
                <w:rFonts w:ascii="宋体" w:hAnsi="宋体" w:hint="eastAsia"/>
                <w:bCs/>
                <w:color w:val="000000"/>
                <w:szCs w:val="21"/>
              </w:rPr>
              <w:t>003940</w:t>
            </w:r>
          </w:p>
          <w:p w:rsidR="00AD6CFD" w:rsidRDefault="00A117C3">
            <w:pPr>
              <w:jc w:val="center"/>
              <w:rPr>
                <w:rFonts w:ascii="宋体" w:hAnsi="宋体" w:cs="宋体"/>
                <w:color w:val="000000"/>
                <w:szCs w:val="21"/>
              </w:rPr>
            </w:pPr>
            <w:r>
              <w:rPr>
                <w:rFonts w:ascii="宋体" w:hAnsi="宋体" w:hint="eastAsia"/>
                <w:bCs/>
                <w:color w:val="000000"/>
                <w:szCs w:val="21"/>
              </w:rPr>
              <w:t>C</w:t>
            </w:r>
            <w:r>
              <w:rPr>
                <w:rFonts w:ascii="宋体" w:hAnsi="宋体" w:hint="eastAsia"/>
                <w:bCs/>
                <w:color w:val="000000"/>
                <w:szCs w:val="21"/>
              </w:rPr>
              <w:t>：</w:t>
            </w:r>
            <w:r>
              <w:rPr>
                <w:rFonts w:ascii="宋体" w:hAnsi="宋体" w:hint="eastAsia"/>
                <w:bCs/>
                <w:color w:val="000000"/>
                <w:szCs w:val="21"/>
              </w:rPr>
              <w:t>014047</w:t>
            </w:r>
          </w:p>
        </w:tc>
        <w:tc>
          <w:tcPr>
            <w:tcW w:w="1004"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2</w:t>
            </w:r>
          </w:p>
        </w:tc>
        <w:tc>
          <w:tcPr>
            <w:tcW w:w="2928" w:type="dxa"/>
            <w:vAlign w:val="center"/>
          </w:tcPr>
          <w:p w:rsidR="00AD6CFD" w:rsidRDefault="00A117C3">
            <w:pPr>
              <w:jc w:val="left"/>
              <w:rPr>
                <w:rFonts w:ascii="宋体" w:hAnsi="宋体"/>
                <w:szCs w:val="21"/>
              </w:rPr>
            </w:pPr>
            <w:r>
              <w:rPr>
                <w:rFonts w:ascii="宋体" w:hAnsi="宋体" w:hint="eastAsia"/>
                <w:szCs w:val="21"/>
              </w:rPr>
              <w:t>银华心怡灵活配置混合型证券投资基金</w:t>
            </w:r>
          </w:p>
        </w:tc>
        <w:tc>
          <w:tcPr>
            <w:tcW w:w="1137"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005794</w:t>
            </w:r>
            <w:r>
              <w:rPr>
                <w:rFonts w:ascii="宋体" w:hAnsi="宋体" w:cs="宋体" w:hint="eastAsia"/>
                <w:color w:val="000000"/>
                <w:kern w:val="0"/>
                <w:szCs w:val="21"/>
                <w:lang/>
              </w:rPr>
              <w:br/>
              <w:t>C</w:t>
            </w:r>
            <w:r>
              <w:rPr>
                <w:rFonts w:ascii="宋体" w:hAnsi="宋体" w:cs="宋体" w:hint="eastAsia"/>
                <w:color w:val="000000"/>
                <w:kern w:val="0"/>
                <w:szCs w:val="21"/>
                <w:lang/>
              </w:rPr>
              <w:t>：</w:t>
            </w:r>
            <w:r>
              <w:rPr>
                <w:rFonts w:ascii="宋体" w:hAnsi="宋体" w:cs="宋体" w:hint="eastAsia"/>
                <w:color w:val="000000"/>
                <w:kern w:val="0"/>
                <w:szCs w:val="21"/>
                <w:lang/>
              </w:rPr>
              <w:t>014043</w:t>
            </w:r>
          </w:p>
        </w:tc>
        <w:tc>
          <w:tcPr>
            <w:tcW w:w="1004"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3</w:t>
            </w:r>
          </w:p>
        </w:tc>
        <w:tc>
          <w:tcPr>
            <w:tcW w:w="2928" w:type="dxa"/>
            <w:vAlign w:val="center"/>
          </w:tcPr>
          <w:p w:rsidR="00AD6CFD" w:rsidRDefault="00A117C3">
            <w:pPr>
              <w:jc w:val="left"/>
              <w:rPr>
                <w:rFonts w:hAnsi="宋体"/>
                <w:szCs w:val="21"/>
              </w:rPr>
            </w:pPr>
            <w:r>
              <w:rPr>
                <w:rFonts w:hAnsi="宋体" w:hint="eastAsia"/>
                <w:szCs w:val="21"/>
              </w:rPr>
              <w:t>银华鑫锐灵活配置混合型证券投资基金（</w:t>
            </w:r>
            <w:r>
              <w:rPr>
                <w:rFonts w:hAnsi="宋体" w:hint="eastAsia"/>
                <w:szCs w:val="21"/>
              </w:rPr>
              <w:t>LOF</w:t>
            </w:r>
            <w:r>
              <w:rPr>
                <w:rFonts w:hAnsi="宋体" w:hint="eastAsia"/>
                <w:szCs w:val="21"/>
              </w:rPr>
              <w:t>）</w:t>
            </w:r>
          </w:p>
        </w:tc>
        <w:tc>
          <w:tcPr>
            <w:tcW w:w="1137"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161834</w:t>
            </w:r>
          </w:p>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color w:val="000000"/>
                <w:kern w:val="0"/>
                <w:szCs w:val="21"/>
                <w:lang/>
              </w:rPr>
              <w:t>014349</w:t>
            </w:r>
          </w:p>
        </w:tc>
        <w:tc>
          <w:tcPr>
            <w:tcW w:w="1004"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szCs w:val="21"/>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否</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szCs w:val="21"/>
              </w:rPr>
              <w:t>4</w:t>
            </w:r>
          </w:p>
        </w:tc>
        <w:tc>
          <w:tcPr>
            <w:tcW w:w="2928" w:type="dxa"/>
            <w:vAlign w:val="center"/>
          </w:tcPr>
          <w:p w:rsidR="00AD6CFD" w:rsidRDefault="00A117C3">
            <w:pPr>
              <w:jc w:val="left"/>
              <w:rPr>
                <w:rFonts w:hAnsi="宋体"/>
                <w:szCs w:val="21"/>
              </w:rPr>
            </w:pPr>
            <w:r>
              <w:rPr>
                <w:rFonts w:hAnsi="宋体"/>
                <w:szCs w:val="21"/>
              </w:rPr>
              <w:t>银华鑫盛灵活配置混合型证券投资基金（</w:t>
            </w:r>
            <w:r>
              <w:rPr>
                <w:rFonts w:hAnsi="宋体"/>
                <w:szCs w:val="21"/>
              </w:rPr>
              <w:t>LOF</w:t>
            </w:r>
            <w:r>
              <w:rPr>
                <w:rFonts w:hAnsi="宋体"/>
                <w:szCs w:val="21"/>
              </w:rPr>
              <w:t>）</w:t>
            </w:r>
          </w:p>
        </w:tc>
        <w:tc>
          <w:tcPr>
            <w:tcW w:w="1137"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w:t>
            </w:r>
            <w:r>
              <w:rPr>
                <w:rFonts w:ascii="宋体" w:hAnsi="宋体" w:cs="宋体" w:hint="eastAsia"/>
                <w:color w:val="000000"/>
                <w:szCs w:val="21"/>
              </w:rPr>
              <w:t>501022</w:t>
            </w:r>
          </w:p>
          <w:p w:rsidR="00AD6CFD" w:rsidRDefault="00A117C3">
            <w:pPr>
              <w:jc w:val="center"/>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zCs w:val="21"/>
              </w:rPr>
              <w:t>：</w:t>
            </w:r>
            <w:r>
              <w:rPr>
                <w:rFonts w:ascii="宋体" w:hAnsi="宋体" w:cs="宋体" w:hint="eastAsia"/>
                <w:color w:val="000000"/>
                <w:szCs w:val="21"/>
              </w:rPr>
              <w:t>014048</w:t>
            </w:r>
          </w:p>
        </w:tc>
        <w:tc>
          <w:tcPr>
            <w:tcW w:w="1004"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kern w:val="0"/>
                <w:szCs w:val="21"/>
                <w:lang/>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否</w:t>
            </w:r>
          </w:p>
        </w:tc>
      </w:tr>
    </w:tbl>
    <w:p w:rsidR="00AD6CFD" w:rsidRDefault="00AD6CFD">
      <w:pPr>
        <w:pStyle w:val="-11"/>
        <w:autoSpaceDE w:val="0"/>
        <w:autoSpaceDN w:val="0"/>
        <w:adjustRightInd w:val="0"/>
        <w:spacing w:before="50" w:line="360" w:lineRule="auto"/>
        <w:ind w:firstLineChars="0" w:firstLine="0"/>
        <w:jc w:val="left"/>
        <w:rPr>
          <w:rFonts w:hAnsi="宋体"/>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平安银行开通业务具体情况：</w:t>
      </w:r>
    </w:p>
    <w:tbl>
      <w:tblPr>
        <w:tblpPr w:leftFromText="180" w:rightFromText="180" w:vertAnchor="text" w:horzAnchor="page" w:tblpXSpec="center" w:tblpY="225"/>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928"/>
        <w:gridCol w:w="1137"/>
        <w:gridCol w:w="1004"/>
        <w:gridCol w:w="988"/>
        <w:gridCol w:w="1287"/>
        <w:gridCol w:w="1176"/>
      </w:tblGrid>
      <w:tr w:rsidR="00AD6CFD">
        <w:trPr>
          <w:jc w:val="center"/>
        </w:trPr>
        <w:tc>
          <w:tcPr>
            <w:tcW w:w="660"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编号</w:t>
            </w:r>
          </w:p>
        </w:tc>
        <w:tc>
          <w:tcPr>
            <w:tcW w:w="2928"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3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004"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是否开通申购</w:t>
            </w:r>
          </w:p>
        </w:tc>
        <w:tc>
          <w:tcPr>
            <w:tcW w:w="988"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是否开通赎回</w:t>
            </w:r>
          </w:p>
        </w:tc>
        <w:tc>
          <w:tcPr>
            <w:tcW w:w="128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是否开通定期定额投资</w:t>
            </w:r>
          </w:p>
        </w:tc>
        <w:tc>
          <w:tcPr>
            <w:tcW w:w="1176"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是否开通转换业务</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1</w:t>
            </w:r>
          </w:p>
        </w:tc>
        <w:tc>
          <w:tcPr>
            <w:tcW w:w="2928" w:type="dxa"/>
            <w:vAlign w:val="center"/>
          </w:tcPr>
          <w:p w:rsidR="00AD6CFD" w:rsidRDefault="00A117C3">
            <w:pPr>
              <w:jc w:val="left"/>
              <w:rPr>
                <w:rFonts w:ascii="宋体" w:hAnsi="宋体"/>
                <w:szCs w:val="21"/>
              </w:rPr>
            </w:pPr>
            <w:r>
              <w:rPr>
                <w:rFonts w:ascii="宋体" w:hAnsi="宋体" w:cs="宋体" w:hint="eastAsia"/>
                <w:szCs w:val="21"/>
              </w:rPr>
              <w:t>银华交易型货币市场基金</w:t>
            </w:r>
            <w:r>
              <w:rPr>
                <w:rFonts w:ascii="宋体" w:hAnsi="宋体" w:cs="宋体" w:hint="eastAsia"/>
                <w:szCs w:val="21"/>
              </w:rPr>
              <w:t>C</w:t>
            </w:r>
            <w:r>
              <w:rPr>
                <w:rFonts w:ascii="宋体" w:hAnsi="宋体" w:cs="宋体" w:hint="eastAsia"/>
                <w:szCs w:val="21"/>
              </w:rPr>
              <w:t>类基金份额</w:t>
            </w:r>
          </w:p>
        </w:tc>
        <w:tc>
          <w:tcPr>
            <w:tcW w:w="1137"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015557</w:t>
            </w:r>
          </w:p>
        </w:tc>
        <w:tc>
          <w:tcPr>
            <w:tcW w:w="1004"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否</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否</w:t>
            </w:r>
          </w:p>
        </w:tc>
      </w:tr>
    </w:tbl>
    <w:p w:rsidR="00AD6CFD" w:rsidRDefault="00AD6CFD">
      <w:pPr>
        <w:pStyle w:val="-11"/>
        <w:autoSpaceDE w:val="0"/>
        <w:autoSpaceDN w:val="0"/>
        <w:adjustRightInd w:val="0"/>
        <w:spacing w:before="50" w:line="360" w:lineRule="auto"/>
        <w:ind w:firstLineChars="0" w:firstLine="0"/>
        <w:jc w:val="left"/>
        <w:rPr>
          <w:rFonts w:hAnsi="宋体"/>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兴业银行开通业务具体情况：</w:t>
      </w:r>
    </w:p>
    <w:tbl>
      <w:tblPr>
        <w:tblpPr w:leftFromText="180" w:rightFromText="180" w:vertAnchor="text" w:horzAnchor="page" w:tblpXSpec="center" w:tblpY="225"/>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928"/>
        <w:gridCol w:w="1137"/>
        <w:gridCol w:w="1004"/>
        <w:gridCol w:w="988"/>
        <w:gridCol w:w="1287"/>
        <w:gridCol w:w="1176"/>
      </w:tblGrid>
      <w:tr w:rsidR="00AD6CFD">
        <w:trPr>
          <w:jc w:val="center"/>
        </w:trPr>
        <w:tc>
          <w:tcPr>
            <w:tcW w:w="660"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编号</w:t>
            </w:r>
          </w:p>
        </w:tc>
        <w:tc>
          <w:tcPr>
            <w:tcW w:w="2928"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3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004"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是否开通申购</w:t>
            </w:r>
          </w:p>
        </w:tc>
        <w:tc>
          <w:tcPr>
            <w:tcW w:w="988"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是否开通赎回</w:t>
            </w:r>
          </w:p>
        </w:tc>
        <w:tc>
          <w:tcPr>
            <w:tcW w:w="1287" w:type="dxa"/>
            <w:vAlign w:val="center"/>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是否开通定期定额投资</w:t>
            </w:r>
          </w:p>
        </w:tc>
        <w:tc>
          <w:tcPr>
            <w:tcW w:w="1176" w:type="dxa"/>
          </w:tcPr>
          <w:p w:rsidR="00AD6CFD" w:rsidRDefault="00A117C3" w:rsidP="00A117C3">
            <w:pPr>
              <w:spacing w:beforeLines="50" w:line="360" w:lineRule="auto"/>
              <w:jc w:val="center"/>
              <w:rPr>
                <w:rFonts w:ascii="宋体" w:hAnsi="宋体"/>
                <w:b/>
                <w:bCs/>
                <w:kern w:val="0"/>
                <w:szCs w:val="21"/>
              </w:rPr>
            </w:pPr>
            <w:r>
              <w:rPr>
                <w:rFonts w:ascii="宋体" w:hAnsi="宋体" w:hint="eastAsia"/>
                <w:b/>
                <w:bCs/>
                <w:kern w:val="0"/>
                <w:szCs w:val="21"/>
              </w:rPr>
              <w:t>是否开通转换业务</w:t>
            </w:r>
          </w:p>
        </w:tc>
      </w:tr>
      <w:tr w:rsidR="00AD6CFD">
        <w:trPr>
          <w:trHeight w:val="624"/>
          <w:jc w:val="center"/>
        </w:trPr>
        <w:tc>
          <w:tcPr>
            <w:tcW w:w="660" w:type="dxa"/>
            <w:vAlign w:val="center"/>
          </w:tcPr>
          <w:p w:rsidR="00AD6CFD" w:rsidRDefault="00A117C3">
            <w:pPr>
              <w:jc w:val="center"/>
              <w:rPr>
                <w:rFonts w:ascii="宋体" w:hAnsi="宋体"/>
                <w:szCs w:val="21"/>
              </w:rPr>
            </w:pPr>
            <w:r>
              <w:rPr>
                <w:rFonts w:ascii="宋体" w:hAnsi="宋体" w:hint="eastAsia"/>
                <w:szCs w:val="21"/>
              </w:rPr>
              <w:t>1</w:t>
            </w:r>
          </w:p>
        </w:tc>
        <w:tc>
          <w:tcPr>
            <w:tcW w:w="2928" w:type="dxa"/>
            <w:vAlign w:val="center"/>
          </w:tcPr>
          <w:p w:rsidR="00AD6CFD" w:rsidRDefault="00A117C3">
            <w:pPr>
              <w:jc w:val="left"/>
              <w:rPr>
                <w:rFonts w:ascii="宋体" w:hAnsi="宋体"/>
                <w:szCs w:val="21"/>
              </w:rPr>
            </w:pPr>
            <w:r>
              <w:rPr>
                <w:rFonts w:ascii="宋体" w:hAnsi="宋体" w:cs="宋体"/>
                <w:color w:val="000000"/>
                <w:kern w:val="0"/>
                <w:szCs w:val="21"/>
                <w:lang/>
              </w:rPr>
              <w:t>银华中证</w:t>
            </w:r>
            <w:r>
              <w:rPr>
                <w:rFonts w:ascii="宋体" w:hAnsi="宋体" w:cs="宋体"/>
                <w:color w:val="000000"/>
                <w:kern w:val="0"/>
                <w:szCs w:val="21"/>
                <w:lang/>
              </w:rPr>
              <w:t>5G</w:t>
            </w:r>
            <w:r>
              <w:rPr>
                <w:rFonts w:ascii="宋体" w:hAnsi="宋体" w:cs="宋体"/>
                <w:color w:val="000000"/>
                <w:kern w:val="0"/>
                <w:szCs w:val="21"/>
                <w:lang/>
              </w:rPr>
              <w:t>通信主题交易型开放式指数证券投资基金联接基金</w:t>
            </w:r>
          </w:p>
        </w:tc>
        <w:tc>
          <w:tcPr>
            <w:tcW w:w="1137"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w:t>
            </w:r>
            <w:r>
              <w:rPr>
                <w:rFonts w:ascii="宋体" w:hAnsi="宋体" w:cs="宋体" w:hint="eastAsia"/>
                <w:color w:val="000000"/>
                <w:szCs w:val="21"/>
              </w:rPr>
              <w:t>008889</w:t>
            </w:r>
          </w:p>
          <w:p w:rsidR="00AD6CFD" w:rsidRDefault="00A117C3">
            <w:pPr>
              <w:jc w:val="center"/>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zCs w:val="21"/>
              </w:rPr>
              <w:t>：</w:t>
            </w:r>
            <w:r>
              <w:rPr>
                <w:rFonts w:ascii="宋体" w:hAnsi="宋体" w:cs="宋体" w:hint="eastAsia"/>
                <w:color w:val="000000"/>
                <w:szCs w:val="21"/>
              </w:rPr>
              <w:t>010524</w:t>
            </w:r>
          </w:p>
        </w:tc>
        <w:tc>
          <w:tcPr>
            <w:tcW w:w="1004"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988"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287" w:type="dxa"/>
            <w:vAlign w:val="center"/>
          </w:tcPr>
          <w:p w:rsidR="00AD6CFD" w:rsidRDefault="00A117C3">
            <w:pPr>
              <w:jc w:val="center"/>
              <w:rPr>
                <w:rFonts w:ascii="宋体" w:hAnsi="宋体" w:cs="宋体"/>
                <w:color w:val="000000"/>
                <w:szCs w:val="21"/>
              </w:rPr>
            </w:pPr>
            <w:r>
              <w:rPr>
                <w:rFonts w:ascii="宋体" w:hAnsi="宋体" w:cs="宋体" w:hint="eastAsia"/>
                <w:color w:val="000000"/>
                <w:kern w:val="0"/>
                <w:szCs w:val="21"/>
                <w:lang/>
              </w:rPr>
              <w:t>是</w:t>
            </w:r>
          </w:p>
        </w:tc>
        <w:tc>
          <w:tcPr>
            <w:tcW w:w="1176" w:type="dxa"/>
            <w:vAlign w:val="center"/>
          </w:tcPr>
          <w:p w:rsidR="00AD6CFD" w:rsidRDefault="00A117C3">
            <w:pPr>
              <w:jc w:val="center"/>
              <w:rPr>
                <w:rFonts w:ascii="宋体" w:hAnsi="宋体" w:cs="宋体"/>
                <w:color w:val="000000"/>
                <w:szCs w:val="21"/>
              </w:rPr>
            </w:pPr>
            <w:r>
              <w:rPr>
                <w:rFonts w:ascii="宋体" w:hAnsi="宋体" w:cs="宋体" w:hint="eastAsia"/>
                <w:color w:val="000000"/>
                <w:szCs w:val="21"/>
              </w:rPr>
              <w:t>是</w:t>
            </w:r>
          </w:p>
        </w:tc>
      </w:tr>
    </w:tbl>
    <w:p w:rsidR="00AD6CFD" w:rsidRDefault="00AD6CFD">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投资者可以通过以下途径咨询有关详情：</w:t>
      </w:r>
    </w:p>
    <w:p w:rsidR="00AD6CFD" w:rsidRDefault="00A117C3">
      <w:pPr>
        <w:pStyle w:val="aa"/>
        <w:autoSpaceDE w:val="0"/>
        <w:autoSpaceDN w:val="0"/>
        <w:adjustRightInd w:val="0"/>
        <w:spacing w:line="360" w:lineRule="auto"/>
        <w:ind w:left="420" w:firstLineChars="0" w:firstLine="0"/>
        <w:jc w:val="left"/>
        <w:rPr>
          <w:rFonts w:ascii="宋体" w:hAnsi="宋体" w:cs="宋体"/>
          <w:kern w:val="0"/>
          <w:szCs w:val="21"/>
          <w:lang w:val="zh-CN"/>
        </w:rPr>
      </w:pPr>
      <w:r>
        <w:rPr>
          <w:rFonts w:ascii="宋体" w:hAnsi="宋体" w:hint="eastAsia"/>
          <w:color w:val="0D0D0D"/>
          <w:kern w:val="0"/>
          <w:szCs w:val="21"/>
        </w:rPr>
        <w:t xml:space="preserve">1. </w:t>
      </w:r>
      <w:r>
        <w:rPr>
          <w:rFonts w:ascii="宋体" w:hAnsi="宋体" w:hint="eastAsia"/>
          <w:color w:val="0D0D0D"/>
          <w:kern w:val="0"/>
          <w:szCs w:val="21"/>
        </w:rPr>
        <w:t>泰信财富基金销售有限公司</w:t>
      </w:r>
    </w:p>
    <w:tbl>
      <w:tblPr>
        <w:tblW w:w="500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2113"/>
        <w:gridCol w:w="1130"/>
        <w:gridCol w:w="3419"/>
      </w:tblGrid>
      <w:tr w:rsidR="00AD6CFD">
        <w:trPr>
          <w:trHeight w:hRule="exact" w:val="340"/>
        </w:trPr>
        <w:tc>
          <w:tcPr>
            <w:tcW w:w="109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注册地址</w:t>
            </w:r>
          </w:p>
        </w:tc>
        <w:tc>
          <w:tcPr>
            <w:tcW w:w="3904" w:type="pct"/>
            <w:gridSpan w:val="3"/>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北京市朝阳区建国路乙</w:t>
            </w:r>
            <w:r>
              <w:rPr>
                <w:rFonts w:eastAsia="宋体" w:hAnsi="宋体" w:hint="eastAsia"/>
                <w:sz w:val="21"/>
                <w:szCs w:val="21"/>
              </w:rPr>
              <w:t>118</w:t>
            </w:r>
            <w:r>
              <w:rPr>
                <w:rFonts w:eastAsia="宋体" w:hAnsi="宋体" w:hint="eastAsia"/>
                <w:sz w:val="21"/>
                <w:szCs w:val="21"/>
              </w:rPr>
              <w:t>号</w:t>
            </w:r>
            <w:r>
              <w:rPr>
                <w:rFonts w:eastAsia="宋体" w:hAnsi="宋体" w:hint="eastAsia"/>
                <w:sz w:val="21"/>
                <w:szCs w:val="21"/>
              </w:rPr>
              <w:t>10</w:t>
            </w:r>
            <w:r>
              <w:rPr>
                <w:rFonts w:eastAsia="宋体" w:hAnsi="宋体" w:hint="eastAsia"/>
                <w:sz w:val="21"/>
                <w:szCs w:val="21"/>
              </w:rPr>
              <w:t>层</w:t>
            </w:r>
            <w:r>
              <w:rPr>
                <w:rFonts w:eastAsia="宋体" w:hAnsi="宋体" w:hint="eastAsia"/>
                <w:sz w:val="21"/>
                <w:szCs w:val="21"/>
              </w:rPr>
              <w:t>1206</w:t>
            </w:r>
          </w:p>
        </w:tc>
      </w:tr>
      <w:tr w:rsidR="00AD6CFD">
        <w:trPr>
          <w:trHeight w:hRule="exact" w:val="340"/>
        </w:trPr>
        <w:tc>
          <w:tcPr>
            <w:tcW w:w="109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法定代表人</w:t>
            </w:r>
          </w:p>
        </w:tc>
        <w:tc>
          <w:tcPr>
            <w:tcW w:w="3904" w:type="pct"/>
            <w:gridSpan w:val="3"/>
            <w:vAlign w:val="center"/>
          </w:tcPr>
          <w:p w:rsidR="00AD6CFD" w:rsidRDefault="00A117C3">
            <w:pPr>
              <w:pStyle w:val="080318"/>
              <w:ind w:firstLineChars="0" w:firstLine="0"/>
              <w:rPr>
                <w:rFonts w:eastAsia="宋体" w:hAnsi="宋体"/>
                <w:sz w:val="21"/>
                <w:szCs w:val="21"/>
                <w:lang w:val="en-US"/>
              </w:rPr>
            </w:pPr>
            <w:r>
              <w:rPr>
                <w:rFonts w:eastAsia="宋体" w:hAnsi="宋体" w:hint="eastAsia"/>
                <w:sz w:val="21"/>
                <w:szCs w:val="21"/>
                <w:lang w:val="en-US"/>
              </w:rPr>
              <w:t>彭浩</w:t>
            </w:r>
          </w:p>
        </w:tc>
      </w:tr>
      <w:tr w:rsidR="00AD6CFD">
        <w:trPr>
          <w:trHeight w:hRule="exact" w:val="340"/>
        </w:trPr>
        <w:tc>
          <w:tcPr>
            <w:tcW w:w="109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123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400</w:t>
            </w:r>
            <w:r>
              <w:rPr>
                <w:rFonts w:eastAsia="宋体" w:hAnsi="宋体" w:hint="eastAsia"/>
                <w:sz w:val="21"/>
                <w:szCs w:val="21"/>
                <w:lang w:val="en-US"/>
              </w:rPr>
              <w:t>-</w:t>
            </w:r>
            <w:r>
              <w:rPr>
                <w:rFonts w:eastAsia="宋体" w:hAnsi="宋体" w:hint="eastAsia"/>
                <w:sz w:val="21"/>
                <w:szCs w:val="21"/>
              </w:rPr>
              <w:t>004</w:t>
            </w:r>
            <w:r>
              <w:rPr>
                <w:rFonts w:eastAsia="宋体" w:hAnsi="宋体" w:hint="eastAsia"/>
                <w:sz w:val="21"/>
                <w:szCs w:val="21"/>
                <w:lang w:val="en-US"/>
              </w:rPr>
              <w:t>-</w:t>
            </w:r>
            <w:r>
              <w:rPr>
                <w:rFonts w:eastAsia="宋体" w:hAnsi="宋体" w:hint="eastAsia"/>
                <w:sz w:val="21"/>
                <w:szCs w:val="21"/>
              </w:rPr>
              <w:t>8821</w:t>
            </w:r>
          </w:p>
        </w:tc>
        <w:tc>
          <w:tcPr>
            <w:tcW w:w="662"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2002"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www.taixincf.com</w:t>
            </w:r>
          </w:p>
        </w:tc>
      </w:tr>
    </w:tbl>
    <w:p w:rsidR="00AD6CFD" w:rsidRDefault="00A117C3">
      <w:pPr>
        <w:pStyle w:val="aa"/>
        <w:numPr>
          <w:ilvl w:val="0"/>
          <w:numId w:val="2"/>
        </w:numPr>
        <w:autoSpaceDE w:val="0"/>
        <w:autoSpaceDN w:val="0"/>
        <w:adjustRightInd w:val="0"/>
        <w:spacing w:line="360" w:lineRule="auto"/>
        <w:ind w:left="420" w:firstLineChars="0" w:firstLine="0"/>
        <w:jc w:val="left"/>
        <w:rPr>
          <w:rFonts w:ascii="宋体" w:hAnsi="宋体"/>
          <w:color w:val="0D0D0D"/>
          <w:kern w:val="0"/>
          <w:szCs w:val="21"/>
        </w:rPr>
      </w:pPr>
      <w:r>
        <w:rPr>
          <w:rFonts w:ascii="宋体" w:hAnsi="宋体" w:hint="eastAsia"/>
          <w:color w:val="0D0D0D"/>
          <w:kern w:val="0"/>
          <w:szCs w:val="21"/>
        </w:rPr>
        <w:t>国信证券股份有限公司</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注册地址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深圳市罗湖区红岭中路</w:t>
            </w:r>
            <w:r>
              <w:rPr>
                <w:rFonts w:eastAsia="宋体" w:hAnsi="宋体" w:hint="eastAsia"/>
                <w:sz w:val="21"/>
                <w:szCs w:val="21"/>
              </w:rPr>
              <w:t>1012</w:t>
            </w:r>
            <w:r>
              <w:rPr>
                <w:rFonts w:eastAsia="宋体" w:hAnsi="宋体" w:hint="eastAsia"/>
                <w:sz w:val="21"/>
                <w:szCs w:val="21"/>
              </w:rPr>
              <w:t>号国信证券大厦</w:t>
            </w:r>
            <w:r>
              <w:rPr>
                <w:rFonts w:eastAsia="宋体" w:hAnsi="宋体" w:hint="eastAsia"/>
                <w:sz w:val="21"/>
                <w:szCs w:val="21"/>
              </w:rPr>
              <w:t>16-26</w:t>
            </w:r>
            <w:r>
              <w:rPr>
                <w:rFonts w:eastAsia="宋体" w:hAnsi="宋体" w:hint="eastAsia"/>
                <w:sz w:val="21"/>
                <w:szCs w:val="21"/>
              </w:rPr>
              <w:t>层</w:t>
            </w:r>
          </w:p>
        </w:tc>
      </w:tr>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法定代表人</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何如</w:t>
            </w:r>
          </w:p>
        </w:tc>
      </w:tr>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1321"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95536</w:t>
            </w:r>
          </w:p>
        </w:tc>
        <w:tc>
          <w:tcPr>
            <w:tcW w:w="665"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1926" w:type="pct"/>
            <w:tcBorders>
              <w:top w:val="single" w:sz="4" w:space="0" w:color="auto"/>
              <w:left w:val="single" w:sz="4" w:space="0" w:color="auto"/>
              <w:bottom w:val="single" w:sz="4" w:space="0" w:color="auto"/>
              <w:right w:val="single" w:sz="4" w:space="0" w:color="auto"/>
            </w:tcBorders>
            <w:vAlign w:val="center"/>
          </w:tcPr>
          <w:p w:rsidR="00AD6CFD" w:rsidRDefault="00AD6CFD">
            <w:pPr>
              <w:pStyle w:val="080318"/>
              <w:ind w:firstLineChars="0" w:firstLine="0"/>
              <w:rPr>
                <w:rFonts w:eastAsia="宋体" w:hAnsi="宋体"/>
                <w:sz w:val="21"/>
                <w:szCs w:val="21"/>
              </w:rPr>
            </w:pPr>
            <w:hyperlink r:id="rId8" w:history="1">
              <w:r w:rsidR="00A117C3">
                <w:rPr>
                  <w:rFonts w:eastAsia="宋体" w:hAnsi="宋体" w:hint="eastAsia"/>
                  <w:sz w:val="21"/>
                </w:rPr>
                <w:t>www.guosen.com.cn</w:t>
              </w:r>
            </w:hyperlink>
          </w:p>
        </w:tc>
      </w:tr>
    </w:tbl>
    <w:p w:rsidR="00AD6CFD" w:rsidRDefault="00A117C3">
      <w:pPr>
        <w:pStyle w:val="aa"/>
        <w:numPr>
          <w:ilvl w:val="0"/>
          <w:numId w:val="2"/>
        </w:numPr>
        <w:autoSpaceDE w:val="0"/>
        <w:autoSpaceDN w:val="0"/>
        <w:adjustRightInd w:val="0"/>
        <w:spacing w:line="360" w:lineRule="auto"/>
        <w:ind w:left="420" w:firstLineChars="0" w:firstLine="0"/>
        <w:jc w:val="left"/>
        <w:rPr>
          <w:rFonts w:ascii="宋体" w:hAnsi="宋体"/>
          <w:color w:val="0D0D0D"/>
          <w:kern w:val="0"/>
          <w:szCs w:val="21"/>
        </w:rPr>
      </w:pPr>
      <w:r>
        <w:rPr>
          <w:rFonts w:ascii="宋体" w:hAnsi="宋体" w:hint="eastAsia"/>
          <w:color w:val="0D0D0D"/>
          <w:kern w:val="0"/>
          <w:szCs w:val="21"/>
        </w:rPr>
        <w:t>国盛证券有限责任公司</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注册地址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江西省南昌市新建区子实路</w:t>
            </w:r>
            <w:r>
              <w:rPr>
                <w:rFonts w:eastAsia="宋体" w:hAnsi="宋体" w:hint="eastAsia"/>
                <w:sz w:val="21"/>
                <w:szCs w:val="21"/>
              </w:rPr>
              <w:t>1589</w:t>
            </w:r>
            <w:r>
              <w:rPr>
                <w:rFonts w:eastAsia="宋体" w:hAnsi="宋体" w:hint="eastAsia"/>
                <w:sz w:val="21"/>
                <w:szCs w:val="21"/>
              </w:rPr>
              <w:t>号</w:t>
            </w:r>
          </w:p>
        </w:tc>
      </w:tr>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法定代表人</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周军</w:t>
            </w:r>
          </w:p>
        </w:tc>
      </w:tr>
      <w:tr w:rsidR="00AD6CFD">
        <w:tc>
          <w:tcPr>
            <w:tcW w:w="1088"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1321"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sz w:val="21"/>
                <w:szCs w:val="21"/>
              </w:rPr>
              <w:t>956080</w:t>
            </w:r>
          </w:p>
        </w:tc>
        <w:tc>
          <w:tcPr>
            <w:tcW w:w="665"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1926" w:type="pct"/>
            <w:tcBorders>
              <w:top w:val="single" w:sz="4" w:space="0" w:color="auto"/>
              <w:left w:val="single" w:sz="4" w:space="0" w:color="auto"/>
              <w:bottom w:val="single" w:sz="4" w:space="0" w:color="auto"/>
              <w:right w:val="single" w:sz="4" w:space="0" w:color="auto"/>
            </w:tcBorders>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www.gszq.com</w:t>
            </w:r>
          </w:p>
        </w:tc>
      </w:tr>
    </w:tbl>
    <w:p w:rsidR="00AD6CFD" w:rsidRDefault="00A117C3">
      <w:pPr>
        <w:pStyle w:val="aa"/>
        <w:numPr>
          <w:ilvl w:val="0"/>
          <w:numId w:val="2"/>
        </w:numPr>
        <w:autoSpaceDE w:val="0"/>
        <w:autoSpaceDN w:val="0"/>
        <w:adjustRightInd w:val="0"/>
        <w:spacing w:line="360" w:lineRule="auto"/>
        <w:ind w:left="420" w:firstLineChars="0" w:firstLine="0"/>
        <w:jc w:val="left"/>
        <w:rPr>
          <w:rFonts w:ascii="宋体" w:hAnsi="宋体"/>
          <w:color w:val="0D0D0D"/>
          <w:kern w:val="0"/>
          <w:szCs w:val="21"/>
        </w:rPr>
      </w:pPr>
      <w:bookmarkStart w:id="2" w:name="_Hlk109286920"/>
      <w:bookmarkStart w:id="3" w:name="_Hlk109287045"/>
      <w:r>
        <w:rPr>
          <w:rFonts w:ascii="宋体" w:hAnsi="宋体" w:hint="eastAsia"/>
          <w:color w:val="0D0D0D"/>
          <w:kern w:val="0"/>
          <w:szCs w:val="21"/>
        </w:rPr>
        <w:t>平安银行股份有限公司</w:t>
      </w:r>
      <w:bookmarkEnd w:id="2"/>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注册地址</w:t>
            </w:r>
          </w:p>
        </w:tc>
        <w:tc>
          <w:tcPr>
            <w:tcW w:w="3912" w:type="pct"/>
            <w:gridSpan w:val="3"/>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中国深圳市深南东路</w:t>
            </w:r>
            <w:r>
              <w:rPr>
                <w:rFonts w:eastAsia="宋体" w:hAnsi="宋体"/>
                <w:sz w:val="21"/>
                <w:szCs w:val="21"/>
              </w:rPr>
              <w:t>5047</w:t>
            </w:r>
            <w:r>
              <w:rPr>
                <w:rFonts w:eastAsia="宋体" w:hAnsi="宋体"/>
                <w:sz w:val="21"/>
                <w:szCs w:val="21"/>
              </w:rPr>
              <w:t>号</w:t>
            </w:r>
          </w:p>
        </w:tc>
      </w:tr>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法定代表人</w:t>
            </w:r>
          </w:p>
        </w:tc>
        <w:tc>
          <w:tcPr>
            <w:tcW w:w="3912" w:type="pct"/>
            <w:gridSpan w:val="3"/>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谢永林</w:t>
            </w:r>
          </w:p>
        </w:tc>
      </w:tr>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1321" w:type="pct"/>
            <w:vAlign w:val="center"/>
          </w:tcPr>
          <w:p w:rsidR="00AD6CFD" w:rsidRDefault="00A117C3">
            <w:pPr>
              <w:pStyle w:val="080318"/>
              <w:ind w:firstLineChars="0" w:firstLine="0"/>
              <w:rPr>
                <w:rFonts w:eastAsia="宋体" w:hAnsi="宋体"/>
                <w:sz w:val="21"/>
                <w:szCs w:val="21"/>
              </w:rPr>
            </w:pPr>
            <w:r>
              <w:rPr>
                <w:rFonts w:eastAsia="宋体" w:hAnsi="宋体"/>
                <w:sz w:val="21"/>
                <w:szCs w:val="21"/>
              </w:rPr>
              <w:t>95511-3</w:t>
            </w:r>
          </w:p>
        </w:tc>
        <w:tc>
          <w:tcPr>
            <w:tcW w:w="66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1926" w:type="pct"/>
            <w:vAlign w:val="center"/>
          </w:tcPr>
          <w:p w:rsidR="00AD6CFD" w:rsidRDefault="00A117C3">
            <w:pPr>
              <w:pStyle w:val="080318"/>
              <w:ind w:firstLineChars="0" w:firstLine="0"/>
              <w:rPr>
                <w:rFonts w:eastAsia="宋体" w:hAnsi="宋体"/>
                <w:sz w:val="21"/>
                <w:szCs w:val="21"/>
              </w:rPr>
            </w:pPr>
            <w:r>
              <w:rPr>
                <w:rFonts w:eastAsia="宋体" w:hAnsi="宋体"/>
                <w:sz w:val="21"/>
                <w:szCs w:val="21"/>
              </w:rPr>
              <w:t>bank.pingan.com</w:t>
            </w:r>
          </w:p>
        </w:tc>
      </w:tr>
    </w:tbl>
    <w:p w:rsidR="00AD6CFD" w:rsidRDefault="00A117C3">
      <w:pPr>
        <w:pStyle w:val="aa"/>
        <w:numPr>
          <w:ilvl w:val="0"/>
          <w:numId w:val="2"/>
        </w:numPr>
        <w:autoSpaceDE w:val="0"/>
        <w:autoSpaceDN w:val="0"/>
        <w:adjustRightInd w:val="0"/>
        <w:spacing w:line="360" w:lineRule="auto"/>
        <w:ind w:left="420" w:firstLineChars="0" w:firstLine="0"/>
        <w:jc w:val="left"/>
        <w:rPr>
          <w:rFonts w:ascii="宋体" w:hAnsi="宋体"/>
          <w:color w:val="0D0D0D"/>
          <w:kern w:val="0"/>
          <w:szCs w:val="21"/>
        </w:rPr>
      </w:pPr>
      <w:bookmarkStart w:id="4" w:name="_Hlk54195647"/>
      <w:bookmarkEnd w:id="3"/>
      <w:r>
        <w:rPr>
          <w:rFonts w:ascii="宋体" w:hAnsi="宋体" w:hint="eastAsia"/>
          <w:color w:val="0D0D0D"/>
          <w:kern w:val="0"/>
          <w:szCs w:val="21"/>
        </w:rPr>
        <w:t>兴业银行股份有限公司</w:t>
      </w:r>
    </w:p>
    <w:tbl>
      <w:tblPr>
        <w:tblW w:w="499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248"/>
        <w:gridCol w:w="1132"/>
        <w:gridCol w:w="3276"/>
      </w:tblGrid>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注册地址</w:t>
            </w:r>
          </w:p>
        </w:tc>
        <w:tc>
          <w:tcPr>
            <w:tcW w:w="3911" w:type="pct"/>
            <w:gridSpan w:val="3"/>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福州市湖东路</w:t>
            </w:r>
            <w:r>
              <w:rPr>
                <w:rFonts w:eastAsia="宋体" w:hAnsi="宋体" w:hint="eastAsia"/>
                <w:sz w:val="21"/>
                <w:szCs w:val="21"/>
              </w:rPr>
              <w:t>154</w:t>
            </w:r>
            <w:r>
              <w:rPr>
                <w:rFonts w:eastAsia="宋体" w:hAnsi="宋体" w:hint="eastAsia"/>
                <w:sz w:val="21"/>
                <w:szCs w:val="21"/>
              </w:rPr>
              <w:t>号中山大厦</w:t>
            </w:r>
          </w:p>
        </w:tc>
      </w:tr>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法定代表人</w:t>
            </w:r>
          </w:p>
        </w:tc>
        <w:tc>
          <w:tcPr>
            <w:tcW w:w="3911" w:type="pct"/>
            <w:gridSpan w:val="3"/>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吕家进</w:t>
            </w:r>
          </w:p>
        </w:tc>
      </w:tr>
      <w:tr w:rsidR="00AD6CFD">
        <w:trPr>
          <w:trHeight w:hRule="exact" w:val="340"/>
        </w:trPr>
        <w:tc>
          <w:tcPr>
            <w:tcW w:w="1088"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1321"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95561</w:t>
            </w:r>
          </w:p>
        </w:tc>
        <w:tc>
          <w:tcPr>
            <w:tcW w:w="66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1923"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www.cib.com.cn</w:t>
            </w:r>
          </w:p>
        </w:tc>
      </w:tr>
    </w:tbl>
    <w:bookmarkEnd w:id="4"/>
    <w:p w:rsidR="00AD6CFD" w:rsidRDefault="00A117C3">
      <w:pPr>
        <w:pStyle w:val="aa"/>
        <w:numPr>
          <w:ilvl w:val="0"/>
          <w:numId w:val="2"/>
        </w:numPr>
        <w:autoSpaceDE w:val="0"/>
        <w:autoSpaceDN w:val="0"/>
        <w:adjustRightInd w:val="0"/>
        <w:spacing w:line="360" w:lineRule="auto"/>
        <w:ind w:left="420" w:firstLineChars="0" w:firstLine="0"/>
        <w:jc w:val="left"/>
        <w:rPr>
          <w:rFonts w:ascii="宋体" w:hAnsi="宋体"/>
          <w:color w:val="0D0D0D"/>
          <w:kern w:val="0"/>
          <w:szCs w:val="21"/>
        </w:rPr>
      </w:pPr>
      <w:r>
        <w:rPr>
          <w:rFonts w:ascii="宋体" w:hAnsi="宋体" w:hint="eastAsia"/>
          <w:color w:val="0D0D0D"/>
          <w:kern w:val="0"/>
          <w:szCs w:val="21"/>
        </w:rPr>
        <w:t>银华基金管理股份有限公司</w:t>
      </w:r>
    </w:p>
    <w:tbl>
      <w:tblPr>
        <w:tblW w:w="497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6661"/>
      </w:tblGrid>
      <w:tr w:rsidR="00AD6CFD">
        <w:tc>
          <w:tcPr>
            <w:tcW w:w="1074"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客服电话</w:t>
            </w:r>
          </w:p>
        </w:tc>
        <w:tc>
          <w:tcPr>
            <w:tcW w:w="392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400-678-3333</w:t>
            </w:r>
            <w:r>
              <w:rPr>
                <w:rFonts w:eastAsia="宋体" w:hAnsi="宋体" w:hint="eastAsia"/>
                <w:sz w:val="21"/>
                <w:szCs w:val="21"/>
              </w:rPr>
              <w:t>、</w:t>
            </w:r>
            <w:r>
              <w:rPr>
                <w:rFonts w:eastAsia="宋体" w:hAnsi="宋体" w:hint="eastAsia"/>
                <w:sz w:val="21"/>
                <w:szCs w:val="21"/>
              </w:rPr>
              <w:t>010-85186558</w:t>
            </w:r>
          </w:p>
        </w:tc>
      </w:tr>
      <w:tr w:rsidR="00AD6CFD">
        <w:tc>
          <w:tcPr>
            <w:tcW w:w="1074"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网址</w:t>
            </w:r>
          </w:p>
        </w:tc>
        <w:tc>
          <w:tcPr>
            <w:tcW w:w="3925" w:type="pct"/>
            <w:vAlign w:val="center"/>
          </w:tcPr>
          <w:p w:rsidR="00AD6CFD" w:rsidRDefault="00A117C3">
            <w:pPr>
              <w:pStyle w:val="080318"/>
              <w:ind w:firstLineChars="0" w:firstLine="0"/>
              <w:rPr>
                <w:rFonts w:eastAsia="宋体" w:hAnsi="宋体"/>
                <w:sz w:val="21"/>
                <w:szCs w:val="21"/>
              </w:rPr>
            </w:pPr>
            <w:r>
              <w:rPr>
                <w:rFonts w:eastAsia="宋体" w:hAnsi="宋体" w:hint="eastAsia"/>
                <w:sz w:val="21"/>
                <w:szCs w:val="21"/>
              </w:rPr>
              <w:t>www.yhfund.com.cn</w:t>
            </w:r>
          </w:p>
        </w:tc>
      </w:tr>
    </w:tbl>
    <w:p w:rsidR="00AD6CFD" w:rsidRDefault="00AD6CFD">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AD6CFD" w:rsidRDefault="00A117C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重要提示</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本公告的解释权归银华基金管理股份有限公司所有。</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kern w:val="2"/>
          <w:sz w:val="21"/>
          <w:szCs w:val="21"/>
        </w:rPr>
        <w:t>同一基金不同份额之间不支持相互转换。</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asciiTheme="minorEastAsia" w:eastAsiaTheme="minorEastAsia" w:hAnsiTheme="minorEastAsia" w:cstheme="minorEastAsia" w:hint="eastAsia"/>
          <w:sz w:val="21"/>
          <w:szCs w:val="21"/>
        </w:rPr>
        <w:t>银华汇盈一年持有期混合型证券投资基金、银华远兴一年持有期债券型证券投资基金、银华季季盈</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个月滚动持有债券型证券投资基金、银华中证同业存单</w:t>
      </w:r>
      <w:r>
        <w:rPr>
          <w:rFonts w:asciiTheme="minorEastAsia" w:eastAsiaTheme="minorEastAsia" w:hAnsiTheme="minorEastAsia" w:cstheme="minorEastAsia" w:hint="eastAsia"/>
          <w:sz w:val="21"/>
          <w:szCs w:val="21"/>
        </w:rPr>
        <w:t>AAA</w:t>
      </w:r>
      <w:r>
        <w:rPr>
          <w:rFonts w:asciiTheme="minorEastAsia" w:eastAsiaTheme="minorEastAsia" w:hAnsiTheme="minorEastAsia" w:cstheme="minorEastAsia" w:hint="eastAsia"/>
          <w:sz w:val="21"/>
          <w:szCs w:val="21"/>
        </w:rPr>
        <w:t>指数</w:t>
      </w: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天持有期证券投资基金、银华盛利混合型发起式证券投资基金、银华盛世精选灵活配置混合型发起式证券投资基金、银华心怡灵活配置混合型证券投资基金、银华鑫锐灵活配置混合型证券投资基金（</w:t>
      </w:r>
      <w:r>
        <w:rPr>
          <w:rFonts w:asciiTheme="minorEastAsia" w:eastAsiaTheme="minorEastAsia" w:hAnsiTheme="minorEastAsia" w:cstheme="minorEastAsia" w:hint="eastAsia"/>
          <w:sz w:val="21"/>
          <w:szCs w:val="21"/>
        </w:rPr>
        <w:t>LOF</w:t>
      </w:r>
      <w:r>
        <w:rPr>
          <w:rFonts w:asciiTheme="minorEastAsia" w:eastAsiaTheme="minorEastAsia" w:hAnsiTheme="minorEastAsia" w:cstheme="minorEastAsia" w:hint="eastAsia"/>
          <w:sz w:val="21"/>
          <w:szCs w:val="21"/>
        </w:rPr>
        <w:t>）、银华鑫盛灵活配置混合型证券投资基金（</w:t>
      </w:r>
      <w:r>
        <w:rPr>
          <w:rFonts w:asciiTheme="minorEastAsia" w:eastAsiaTheme="minorEastAsia" w:hAnsiTheme="minorEastAsia" w:cstheme="minorEastAsia" w:hint="eastAsia"/>
          <w:sz w:val="21"/>
          <w:szCs w:val="21"/>
        </w:rPr>
        <w:t>LOF</w:t>
      </w:r>
      <w:r>
        <w:rPr>
          <w:rFonts w:asciiTheme="minorEastAsia" w:eastAsiaTheme="minorEastAsia" w:hAnsiTheme="minorEastAsia" w:cstheme="minorEastAsia" w:hint="eastAsia"/>
          <w:sz w:val="21"/>
          <w:szCs w:val="21"/>
        </w:rPr>
        <w:t>）</w:t>
      </w:r>
      <w:r>
        <w:rPr>
          <w:rFonts w:hAnsi="宋体"/>
          <w:bCs/>
          <w:color w:val="auto"/>
          <w:kern w:val="2"/>
          <w:sz w:val="21"/>
          <w:szCs w:val="21"/>
        </w:rPr>
        <w:t>定期定额投资的最低金额为</w:t>
      </w:r>
      <w:r>
        <w:rPr>
          <w:rFonts w:hAnsi="宋体"/>
          <w:bCs/>
          <w:color w:val="auto"/>
          <w:kern w:val="2"/>
          <w:sz w:val="21"/>
          <w:szCs w:val="21"/>
        </w:rPr>
        <w:t>1</w:t>
      </w:r>
      <w:r>
        <w:rPr>
          <w:rFonts w:hAnsi="宋体"/>
          <w:bCs/>
          <w:color w:val="auto"/>
          <w:kern w:val="2"/>
          <w:sz w:val="21"/>
          <w:szCs w:val="21"/>
        </w:rPr>
        <w:t>元</w:t>
      </w:r>
      <w:r>
        <w:rPr>
          <w:rFonts w:hAnsi="宋体" w:hint="eastAsia"/>
          <w:bCs/>
          <w:color w:val="auto"/>
          <w:kern w:val="2"/>
          <w:sz w:val="21"/>
          <w:szCs w:val="21"/>
        </w:rPr>
        <w:t>，其他基金定期定额投资的最低金额为</w:t>
      </w:r>
      <w:r>
        <w:rPr>
          <w:rFonts w:hAnsi="宋体" w:hint="eastAsia"/>
          <w:bCs/>
          <w:color w:val="auto"/>
          <w:kern w:val="2"/>
          <w:sz w:val="21"/>
          <w:szCs w:val="21"/>
        </w:rPr>
        <w:t>10</w:t>
      </w:r>
      <w:r>
        <w:rPr>
          <w:rFonts w:hAnsi="宋体" w:hint="eastAsia"/>
          <w:bCs/>
          <w:color w:val="auto"/>
          <w:kern w:val="2"/>
          <w:sz w:val="21"/>
          <w:szCs w:val="21"/>
        </w:rPr>
        <w:t>元</w:t>
      </w:r>
      <w:r>
        <w:rPr>
          <w:rFonts w:hAnsi="宋体"/>
          <w:bCs/>
          <w:color w:val="auto"/>
          <w:kern w:val="2"/>
          <w:sz w:val="21"/>
          <w:szCs w:val="21"/>
        </w:rPr>
        <w:t>。如代销机构开展上述基金的定期定额投资业务在满足上述规定后如有不同的，投资者在代销机构办理上述业务时，需同时遵循代销机构的相关业务规定。</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hAnsi="宋体"/>
          <w:bCs/>
          <w:color w:val="auto"/>
          <w:kern w:val="2"/>
          <w:sz w:val="21"/>
          <w:szCs w:val="21"/>
        </w:rPr>
        <w:t>银华中证同业存单</w:t>
      </w:r>
      <w:r>
        <w:rPr>
          <w:rFonts w:hAnsi="宋体"/>
          <w:bCs/>
          <w:color w:val="auto"/>
          <w:kern w:val="2"/>
          <w:sz w:val="21"/>
          <w:szCs w:val="21"/>
        </w:rPr>
        <w:t>AAA</w:t>
      </w:r>
      <w:r>
        <w:rPr>
          <w:rFonts w:hAnsi="宋体"/>
          <w:bCs/>
          <w:color w:val="auto"/>
          <w:kern w:val="2"/>
          <w:sz w:val="21"/>
          <w:szCs w:val="21"/>
        </w:rPr>
        <w:t>指数</w:t>
      </w:r>
      <w:r>
        <w:rPr>
          <w:rFonts w:hAnsi="宋体"/>
          <w:bCs/>
          <w:color w:val="auto"/>
          <w:kern w:val="2"/>
          <w:sz w:val="21"/>
          <w:szCs w:val="21"/>
        </w:rPr>
        <w:t>7</w:t>
      </w:r>
      <w:r>
        <w:rPr>
          <w:rFonts w:hAnsi="宋体"/>
          <w:bCs/>
          <w:color w:val="auto"/>
          <w:kern w:val="2"/>
          <w:sz w:val="21"/>
          <w:szCs w:val="21"/>
        </w:rPr>
        <w:t>天持有期证券投资基金最短持有期为</w:t>
      </w:r>
      <w:r>
        <w:rPr>
          <w:rFonts w:hAnsi="宋体" w:hint="eastAsia"/>
          <w:bCs/>
          <w:color w:val="auto"/>
          <w:kern w:val="2"/>
          <w:sz w:val="21"/>
          <w:szCs w:val="21"/>
        </w:rPr>
        <w:t>7</w:t>
      </w:r>
      <w:r>
        <w:rPr>
          <w:rFonts w:hAnsi="宋体" w:hint="eastAsia"/>
          <w:bCs/>
          <w:color w:val="auto"/>
          <w:kern w:val="2"/>
          <w:sz w:val="21"/>
          <w:szCs w:val="21"/>
        </w:rPr>
        <w:t>天，银华华智三个月持有期混合型基金中基金</w:t>
      </w:r>
      <w:r>
        <w:rPr>
          <w:rFonts w:hAnsi="宋体" w:hint="eastAsia"/>
          <w:bCs/>
          <w:color w:val="auto"/>
          <w:kern w:val="2"/>
          <w:sz w:val="21"/>
          <w:szCs w:val="21"/>
        </w:rPr>
        <w:t>(FOF)</w:t>
      </w:r>
      <w:r>
        <w:rPr>
          <w:rFonts w:hAnsi="宋体" w:hint="eastAsia"/>
          <w:bCs/>
          <w:color w:val="auto"/>
          <w:kern w:val="2"/>
          <w:sz w:val="21"/>
          <w:szCs w:val="21"/>
        </w:rPr>
        <w:t>最短持有期为</w:t>
      </w:r>
      <w:r>
        <w:rPr>
          <w:rFonts w:hAnsi="宋体" w:hint="eastAsia"/>
          <w:bCs/>
          <w:color w:val="auto"/>
          <w:kern w:val="2"/>
          <w:sz w:val="21"/>
          <w:szCs w:val="21"/>
        </w:rPr>
        <w:t>3</w:t>
      </w:r>
      <w:r>
        <w:rPr>
          <w:rFonts w:hAnsi="宋体" w:hint="eastAsia"/>
          <w:bCs/>
          <w:color w:val="auto"/>
          <w:kern w:val="2"/>
          <w:sz w:val="21"/>
          <w:szCs w:val="21"/>
        </w:rPr>
        <w:t>个月，银华汇盈一年持有期混合型证券投资基金、银华丰享一年持有期混合型证券投资基金、银华招利一年持有期混合型证券投资基金、银华远兴一年持有期债券型证券投资基金、银华稳健增长一年持有期混合型证券投资基金、银华瑞祥一年持有期混合型证券投资基金</w:t>
      </w:r>
      <w:r>
        <w:rPr>
          <w:rFonts w:hAnsi="宋体"/>
          <w:bCs/>
          <w:color w:val="auto"/>
          <w:kern w:val="2"/>
          <w:sz w:val="21"/>
          <w:szCs w:val="21"/>
        </w:rPr>
        <w:t>最短持有期为</w:t>
      </w:r>
      <w:r>
        <w:rPr>
          <w:rFonts w:hAnsi="宋体"/>
          <w:bCs/>
          <w:color w:val="auto"/>
          <w:kern w:val="2"/>
          <w:sz w:val="21"/>
          <w:szCs w:val="21"/>
        </w:rPr>
        <w:t>一年，敬请投资者留意。</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hAnsi="宋体" w:cs="宋体" w:hint="eastAsia"/>
          <w:sz w:val="21"/>
          <w:szCs w:val="21"/>
          <w:lang/>
        </w:rPr>
        <w:t>银华季季盈</w:t>
      </w:r>
      <w:r>
        <w:rPr>
          <w:rFonts w:hAnsi="宋体" w:cs="宋体" w:hint="eastAsia"/>
          <w:sz w:val="21"/>
          <w:szCs w:val="21"/>
          <w:lang/>
        </w:rPr>
        <w:t>3</w:t>
      </w:r>
      <w:r>
        <w:rPr>
          <w:rFonts w:hAnsi="宋体" w:cs="宋体" w:hint="eastAsia"/>
          <w:sz w:val="21"/>
          <w:szCs w:val="21"/>
          <w:lang/>
        </w:rPr>
        <w:t>个月滚动持有债券型证券投资基金对于每份基金份额设定</w:t>
      </w:r>
      <w:r>
        <w:rPr>
          <w:rFonts w:hAnsi="宋体" w:cs="宋体" w:hint="eastAsia"/>
          <w:sz w:val="21"/>
          <w:szCs w:val="21"/>
          <w:lang/>
        </w:rPr>
        <w:t>3</w:t>
      </w:r>
      <w:r>
        <w:rPr>
          <w:rFonts w:hAnsi="宋体" w:cs="宋体" w:hint="eastAsia"/>
          <w:sz w:val="21"/>
          <w:szCs w:val="21"/>
          <w:lang/>
        </w:rPr>
        <w:t>个月的滚动运作期。每个运作期到期日前，基金份额持有人不能提出赎回或转换转出申请，每个运作期到期日，基金份额持有人可提出赎回或转换转出申请。敬请投资者留意。</w:t>
      </w:r>
    </w:p>
    <w:p w:rsidR="00AD6CFD" w:rsidRDefault="00A117C3">
      <w:pPr>
        <w:pStyle w:val="Default"/>
        <w:numPr>
          <w:ilvl w:val="0"/>
          <w:numId w:val="3"/>
        </w:numPr>
        <w:spacing w:line="360" w:lineRule="auto"/>
        <w:ind w:firstLineChars="200" w:firstLine="420"/>
        <w:jc w:val="both"/>
        <w:rPr>
          <w:rFonts w:hAnsi="宋体"/>
          <w:bCs/>
          <w:color w:val="auto"/>
          <w:kern w:val="2"/>
          <w:sz w:val="21"/>
          <w:szCs w:val="21"/>
        </w:rPr>
      </w:pPr>
      <w:r>
        <w:rPr>
          <w:rFonts w:hAnsi="宋体"/>
          <w:bCs/>
          <w:color w:val="auto"/>
          <w:kern w:val="2"/>
          <w:sz w:val="21"/>
          <w:szCs w:val="21"/>
        </w:rPr>
        <w:t>本公司已于</w:t>
      </w:r>
      <w:r>
        <w:rPr>
          <w:rFonts w:hAnsi="宋体"/>
          <w:bCs/>
          <w:color w:val="auto"/>
          <w:kern w:val="2"/>
          <w:sz w:val="21"/>
          <w:szCs w:val="21"/>
        </w:rPr>
        <w:t>2022</w:t>
      </w:r>
      <w:r>
        <w:rPr>
          <w:rFonts w:hAnsi="宋体"/>
          <w:bCs/>
          <w:color w:val="auto"/>
          <w:kern w:val="2"/>
          <w:sz w:val="21"/>
          <w:szCs w:val="21"/>
        </w:rPr>
        <w:t>年</w:t>
      </w:r>
      <w:r>
        <w:rPr>
          <w:rFonts w:hAnsi="宋体"/>
          <w:bCs/>
          <w:color w:val="auto"/>
          <w:kern w:val="2"/>
          <w:sz w:val="21"/>
          <w:szCs w:val="21"/>
        </w:rPr>
        <w:t>7</w:t>
      </w:r>
      <w:r>
        <w:rPr>
          <w:rFonts w:hAnsi="宋体"/>
          <w:bCs/>
          <w:color w:val="auto"/>
          <w:kern w:val="2"/>
          <w:sz w:val="21"/>
          <w:szCs w:val="21"/>
        </w:rPr>
        <w:t>月</w:t>
      </w:r>
      <w:r>
        <w:rPr>
          <w:rFonts w:hAnsi="宋体"/>
          <w:bCs/>
          <w:color w:val="auto"/>
          <w:kern w:val="2"/>
          <w:sz w:val="21"/>
          <w:szCs w:val="21"/>
        </w:rPr>
        <w:t>5</w:t>
      </w:r>
      <w:r>
        <w:rPr>
          <w:rFonts w:hAnsi="宋体"/>
          <w:bCs/>
          <w:color w:val="auto"/>
          <w:kern w:val="2"/>
          <w:sz w:val="21"/>
          <w:szCs w:val="21"/>
        </w:rPr>
        <w:t>日发布公告，银华中证同业存单</w:t>
      </w:r>
      <w:r>
        <w:rPr>
          <w:rFonts w:hAnsi="宋体"/>
          <w:bCs/>
          <w:color w:val="auto"/>
          <w:kern w:val="2"/>
          <w:sz w:val="21"/>
          <w:szCs w:val="21"/>
        </w:rPr>
        <w:t>AAA</w:t>
      </w:r>
      <w:r>
        <w:rPr>
          <w:rFonts w:hAnsi="宋体"/>
          <w:bCs/>
          <w:color w:val="auto"/>
          <w:kern w:val="2"/>
          <w:sz w:val="21"/>
          <w:szCs w:val="21"/>
        </w:rPr>
        <w:t>指数</w:t>
      </w:r>
      <w:r>
        <w:rPr>
          <w:rFonts w:hAnsi="宋体"/>
          <w:bCs/>
          <w:color w:val="auto"/>
          <w:kern w:val="2"/>
          <w:sz w:val="21"/>
          <w:szCs w:val="21"/>
        </w:rPr>
        <w:t>7</w:t>
      </w:r>
      <w:r>
        <w:rPr>
          <w:rFonts w:hAnsi="宋体"/>
          <w:bCs/>
          <w:color w:val="auto"/>
          <w:kern w:val="2"/>
          <w:sz w:val="21"/>
          <w:szCs w:val="21"/>
        </w:rPr>
        <w:t>天持有期证券投资基金在开放日常申购（含定期定额投资、转换转入业务）、赎回（含转换转出业务）业务过程中，当日有效申请全部确认后基金资产净值接近或达到</w:t>
      </w:r>
      <w:r>
        <w:rPr>
          <w:rFonts w:hAnsi="宋体"/>
          <w:bCs/>
          <w:color w:val="auto"/>
          <w:kern w:val="2"/>
          <w:sz w:val="21"/>
          <w:szCs w:val="21"/>
        </w:rPr>
        <w:t xml:space="preserve"> 100 </w:t>
      </w:r>
      <w:r>
        <w:rPr>
          <w:rFonts w:hAnsi="宋体"/>
          <w:bCs/>
          <w:color w:val="auto"/>
          <w:kern w:val="2"/>
          <w:sz w:val="21"/>
          <w:szCs w:val="21"/>
        </w:rPr>
        <w:t>亿元的，基金将暂停申购并及时公告，后续基金管理</w:t>
      </w:r>
      <w:r>
        <w:rPr>
          <w:rFonts w:hAnsi="宋体"/>
          <w:bCs/>
          <w:color w:val="auto"/>
          <w:kern w:val="2"/>
          <w:sz w:val="21"/>
          <w:szCs w:val="21"/>
        </w:rPr>
        <w:t>人可根据实际情况决定是否恢复申购并及时公告。</w:t>
      </w:r>
    </w:p>
    <w:p w:rsidR="00AD6CFD" w:rsidRDefault="00AD6CFD">
      <w:pPr>
        <w:pStyle w:val="Default"/>
        <w:spacing w:line="360" w:lineRule="auto"/>
        <w:jc w:val="both"/>
        <w:rPr>
          <w:rFonts w:hAnsi="宋体"/>
          <w:bCs/>
          <w:color w:val="auto"/>
          <w:kern w:val="2"/>
          <w:sz w:val="21"/>
          <w:szCs w:val="21"/>
        </w:rPr>
      </w:pPr>
    </w:p>
    <w:p w:rsidR="00AD6CFD" w:rsidRDefault="00A117C3">
      <w:pPr>
        <w:pStyle w:val="Default"/>
        <w:spacing w:line="360" w:lineRule="auto"/>
        <w:ind w:firstLineChars="200" w:firstLine="422"/>
        <w:jc w:val="both"/>
        <w:rPr>
          <w:rFonts w:hAnsi="宋体"/>
          <w:b/>
          <w:color w:val="auto"/>
          <w:kern w:val="2"/>
          <w:sz w:val="21"/>
          <w:szCs w:val="21"/>
        </w:rPr>
      </w:pPr>
      <w:r>
        <w:rPr>
          <w:rFonts w:hAnsi="宋体" w:hint="eastAsia"/>
          <w:b/>
          <w:color w:val="auto"/>
          <w:kern w:val="2"/>
          <w:sz w:val="21"/>
          <w:szCs w:val="21"/>
        </w:rPr>
        <w:t>风险提示：</w:t>
      </w:r>
    </w:p>
    <w:p w:rsidR="00AD6CFD" w:rsidRDefault="00A117C3">
      <w:pPr>
        <w:pStyle w:val="Default"/>
        <w:spacing w:line="360" w:lineRule="auto"/>
        <w:ind w:firstLineChars="200" w:firstLine="420"/>
        <w:jc w:val="both"/>
        <w:rPr>
          <w:rFonts w:hAnsi="宋体"/>
          <w:color w:val="auto"/>
          <w:kern w:val="2"/>
          <w:sz w:val="21"/>
          <w:szCs w:val="21"/>
        </w:rPr>
      </w:pPr>
      <w:r>
        <w:rPr>
          <w:rFonts w:hAnsi="宋体" w:hint="eastAsia"/>
          <w:color w:val="auto"/>
          <w:kern w:val="2"/>
          <w:sz w:val="21"/>
          <w:szCs w:val="21"/>
        </w:rPr>
        <w:t>基金管理人承诺以诚实信用、勤勉尽责的原则管理和运用基金资产，但不保证基金一定盈利，也不保证最低收益。敬请投资者留意投资风险。</w:t>
      </w:r>
    </w:p>
    <w:p w:rsidR="00AD6CFD" w:rsidRDefault="00A117C3">
      <w:pPr>
        <w:spacing w:line="360" w:lineRule="auto"/>
        <w:ind w:firstLineChars="200" w:firstLine="420"/>
        <w:rPr>
          <w:rFonts w:ascii="宋体" w:hAnsi="宋体"/>
          <w:szCs w:val="21"/>
        </w:rPr>
      </w:pPr>
      <w:r>
        <w:rPr>
          <w:rFonts w:hAnsi="宋体" w:hint="eastAsia"/>
          <w:szCs w:val="21"/>
        </w:rPr>
        <w:t>特此公告。</w:t>
      </w:r>
    </w:p>
    <w:p w:rsidR="00AD6CFD" w:rsidRDefault="00A117C3">
      <w:pPr>
        <w:spacing w:line="360" w:lineRule="auto"/>
        <w:ind w:firstLine="420"/>
        <w:jc w:val="right"/>
        <w:rPr>
          <w:rFonts w:ascii="宋体" w:hAnsi="宋体"/>
          <w:szCs w:val="21"/>
        </w:rPr>
      </w:pPr>
      <w:r>
        <w:rPr>
          <w:rFonts w:ascii="宋体" w:hAnsi="宋体" w:hint="eastAsia"/>
          <w:szCs w:val="21"/>
        </w:rPr>
        <w:t xml:space="preserve">                                             </w:t>
      </w:r>
      <w:r>
        <w:rPr>
          <w:rFonts w:ascii="宋体" w:hAnsi="宋体" w:hint="eastAsia"/>
          <w:szCs w:val="21"/>
        </w:rPr>
        <w:t>银华基金管理股份有限公司</w:t>
      </w:r>
    </w:p>
    <w:p w:rsidR="00AD6CFD" w:rsidRDefault="00A117C3">
      <w:pPr>
        <w:spacing w:line="360" w:lineRule="auto"/>
        <w:ind w:right="15" w:firstLine="420"/>
        <w:jc w:val="right"/>
        <w:rPr>
          <w:szCs w:val="21"/>
          <w:highlight w:val="yellow"/>
        </w:rPr>
      </w:pPr>
      <w:r>
        <w:rPr>
          <w:rFonts w:ascii="宋体" w:hAnsi="宋体" w:hint="eastAsia"/>
          <w:szCs w:val="21"/>
        </w:rPr>
        <w:t xml:space="preserve"> 20</w:t>
      </w:r>
      <w:r>
        <w:rPr>
          <w:rFonts w:ascii="宋体" w:hAnsi="宋体" w:hint="eastAsia"/>
          <w:szCs w:val="21"/>
        </w:rPr>
        <w:t>22</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4</w:t>
      </w:r>
      <w:r>
        <w:rPr>
          <w:rFonts w:ascii="宋体" w:hAnsi="宋体" w:hint="eastAsia"/>
          <w:szCs w:val="21"/>
        </w:rPr>
        <w:t>日</w:t>
      </w:r>
    </w:p>
    <w:sectPr w:rsidR="00AD6CFD" w:rsidSect="00AD6CF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FD" w:rsidRDefault="00AD6CFD" w:rsidP="00AD6CFD">
      <w:r>
        <w:separator/>
      </w:r>
    </w:p>
  </w:endnote>
  <w:endnote w:type="continuationSeparator" w:id="0">
    <w:p w:rsidR="00AD6CFD" w:rsidRDefault="00AD6CFD" w:rsidP="00AD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AD6CFD" w:rsidRDefault="00AD6CFD">
        <w:pPr>
          <w:pStyle w:val="a4"/>
          <w:jc w:val="center"/>
        </w:pPr>
        <w:r>
          <w:fldChar w:fldCharType="begin"/>
        </w:r>
        <w:r w:rsidR="00A117C3">
          <w:instrText xml:space="preserve"> PAGE   \* MERGEFORMAT </w:instrText>
        </w:r>
        <w:r>
          <w:fldChar w:fldCharType="separate"/>
        </w:r>
        <w:r w:rsidR="00A117C3" w:rsidRPr="00A117C3">
          <w:rPr>
            <w:noProof/>
            <w:lang w:val="zh-CN"/>
          </w:rPr>
          <w:t>1</w:t>
        </w:r>
        <w:r>
          <w:fldChar w:fldCharType="end"/>
        </w:r>
      </w:p>
    </w:sdtContent>
  </w:sdt>
  <w:p w:rsidR="00AD6CFD" w:rsidRDefault="00AD6C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FD" w:rsidRDefault="00AD6CFD" w:rsidP="00AD6CFD">
      <w:r>
        <w:separator/>
      </w:r>
    </w:p>
  </w:footnote>
  <w:footnote w:type="continuationSeparator" w:id="0">
    <w:p w:rsidR="00AD6CFD" w:rsidRDefault="00AD6CFD" w:rsidP="00AD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D" w:rsidRDefault="00A117C3">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CCB"/>
    <w:multiLevelType w:val="multilevel"/>
    <w:tmpl w:val="158F3CCB"/>
    <w:lvl w:ilvl="0">
      <w:start w:val="1"/>
      <w:numFmt w:val="japaneseCounting"/>
      <w:lvlText w:val="%1、"/>
      <w:lvlJc w:val="left"/>
      <w:pPr>
        <w:ind w:left="456" w:hanging="456"/>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6F73789"/>
    <w:multiLevelType w:val="singleLevel"/>
    <w:tmpl w:val="46F73789"/>
    <w:lvl w:ilvl="0">
      <w:start w:val="2"/>
      <w:numFmt w:val="decimal"/>
      <w:suff w:val="space"/>
      <w:lvlText w:val="%1."/>
      <w:lvlJc w:val="left"/>
    </w:lvl>
  </w:abstractNum>
  <w:abstractNum w:abstractNumId="2">
    <w:nsid w:val="4E968953"/>
    <w:multiLevelType w:val="singleLevel"/>
    <w:tmpl w:val="4E96895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WFmMzA0ZDY1ZWJiYjc1NmMxYmVjOTlkN2ZkNTRiY2MifQ=="/>
  </w:docVars>
  <w:rsids>
    <w:rsidRoot w:val="00F7120A"/>
    <w:rsid w:val="000172D5"/>
    <w:rsid w:val="00022EDE"/>
    <w:rsid w:val="00024870"/>
    <w:rsid w:val="00046157"/>
    <w:rsid w:val="00050EC0"/>
    <w:rsid w:val="00051DA8"/>
    <w:rsid w:val="00051F7A"/>
    <w:rsid w:val="0005266E"/>
    <w:rsid w:val="00056108"/>
    <w:rsid w:val="00057E52"/>
    <w:rsid w:val="00085B03"/>
    <w:rsid w:val="00087574"/>
    <w:rsid w:val="00094C53"/>
    <w:rsid w:val="000A570F"/>
    <w:rsid w:val="000A6877"/>
    <w:rsid w:val="000C09C6"/>
    <w:rsid w:val="000C47C0"/>
    <w:rsid w:val="000D5885"/>
    <w:rsid w:val="000E59D7"/>
    <w:rsid w:val="001127F7"/>
    <w:rsid w:val="00114418"/>
    <w:rsid w:val="0014413D"/>
    <w:rsid w:val="00154BE6"/>
    <w:rsid w:val="00157191"/>
    <w:rsid w:val="001808B1"/>
    <w:rsid w:val="0018261E"/>
    <w:rsid w:val="00192ABD"/>
    <w:rsid w:val="001B1C2C"/>
    <w:rsid w:val="001B4C7C"/>
    <w:rsid w:val="001D5CEB"/>
    <w:rsid w:val="001E1ABF"/>
    <w:rsid w:val="00227B08"/>
    <w:rsid w:val="002352AA"/>
    <w:rsid w:val="00237503"/>
    <w:rsid w:val="002377E5"/>
    <w:rsid w:val="00243217"/>
    <w:rsid w:val="00243780"/>
    <w:rsid w:val="00255D74"/>
    <w:rsid w:val="002600BF"/>
    <w:rsid w:val="002849F8"/>
    <w:rsid w:val="00285567"/>
    <w:rsid w:val="00295703"/>
    <w:rsid w:val="002D7994"/>
    <w:rsid w:val="002E7B08"/>
    <w:rsid w:val="002F5B32"/>
    <w:rsid w:val="00300333"/>
    <w:rsid w:val="00311A3E"/>
    <w:rsid w:val="00317E34"/>
    <w:rsid w:val="00353DD7"/>
    <w:rsid w:val="003542DE"/>
    <w:rsid w:val="0039734A"/>
    <w:rsid w:val="003B6FE0"/>
    <w:rsid w:val="003C4BAF"/>
    <w:rsid w:val="003D6AC5"/>
    <w:rsid w:val="004012BE"/>
    <w:rsid w:val="00401AE4"/>
    <w:rsid w:val="004522E2"/>
    <w:rsid w:val="00454A71"/>
    <w:rsid w:val="004609C7"/>
    <w:rsid w:val="00462148"/>
    <w:rsid w:val="00464FFC"/>
    <w:rsid w:val="00473963"/>
    <w:rsid w:val="00473C15"/>
    <w:rsid w:val="004861D2"/>
    <w:rsid w:val="004A1C81"/>
    <w:rsid w:val="004A61E7"/>
    <w:rsid w:val="004A6856"/>
    <w:rsid w:val="004B6BB2"/>
    <w:rsid w:val="004C5549"/>
    <w:rsid w:val="004C67B6"/>
    <w:rsid w:val="004D2E7F"/>
    <w:rsid w:val="004E2483"/>
    <w:rsid w:val="00501041"/>
    <w:rsid w:val="00503DE9"/>
    <w:rsid w:val="00515CB3"/>
    <w:rsid w:val="0054026D"/>
    <w:rsid w:val="00547B1C"/>
    <w:rsid w:val="00550CBF"/>
    <w:rsid w:val="00557516"/>
    <w:rsid w:val="00570A10"/>
    <w:rsid w:val="0057179A"/>
    <w:rsid w:val="005829E7"/>
    <w:rsid w:val="00587B50"/>
    <w:rsid w:val="005C2072"/>
    <w:rsid w:val="005C3A1B"/>
    <w:rsid w:val="005D1C24"/>
    <w:rsid w:val="005E6B4A"/>
    <w:rsid w:val="005E6E45"/>
    <w:rsid w:val="005E6F69"/>
    <w:rsid w:val="005F4CC0"/>
    <w:rsid w:val="00626B47"/>
    <w:rsid w:val="00640013"/>
    <w:rsid w:val="00647A6E"/>
    <w:rsid w:val="00650871"/>
    <w:rsid w:val="00671BBC"/>
    <w:rsid w:val="006779AD"/>
    <w:rsid w:val="00694365"/>
    <w:rsid w:val="006A185B"/>
    <w:rsid w:val="006A5A80"/>
    <w:rsid w:val="006B4EBC"/>
    <w:rsid w:val="006F03C8"/>
    <w:rsid w:val="006F7B54"/>
    <w:rsid w:val="00706836"/>
    <w:rsid w:val="00724538"/>
    <w:rsid w:val="00786C36"/>
    <w:rsid w:val="00793310"/>
    <w:rsid w:val="007A018F"/>
    <w:rsid w:val="007B0E72"/>
    <w:rsid w:val="007C4E56"/>
    <w:rsid w:val="007E0283"/>
    <w:rsid w:val="007E2579"/>
    <w:rsid w:val="007F1FF5"/>
    <w:rsid w:val="00807F6A"/>
    <w:rsid w:val="0081068C"/>
    <w:rsid w:val="008139E3"/>
    <w:rsid w:val="00851607"/>
    <w:rsid w:val="00861A1E"/>
    <w:rsid w:val="0087455D"/>
    <w:rsid w:val="00882991"/>
    <w:rsid w:val="00883F2C"/>
    <w:rsid w:val="008C2A78"/>
    <w:rsid w:val="008D1817"/>
    <w:rsid w:val="008D1946"/>
    <w:rsid w:val="008D2058"/>
    <w:rsid w:val="008D2B2B"/>
    <w:rsid w:val="008F1438"/>
    <w:rsid w:val="008F1997"/>
    <w:rsid w:val="008F6717"/>
    <w:rsid w:val="009027AB"/>
    <w:rsid w:val="00921857"/>
    <w:rsid w:val="0092480A"/>
    <w:rsid w:val="00927863"/>
    <w:rsid w:val="00927C7F"/>
    <w:rsid w:val="00935FC3"/>
    <w:rsid w:val="00944542"/>
    <w:rsid w:val="00944AEF"/>
    <w:rsid w:val="009511EE"/>
    <w:rsid w:val="009542F9"/>
    <w:rsid w:val="00957182"/>
    <w:rsid w:val="0096418F"/>
    <w:rsid w:val="00984358"/>
    <w:rsid w:val="00993220"/>
    <w:rsid w:val="00996A80"/>
    <w:rsid w:val="009D7061"/>
    <w:rsid w:val="009D7FEB"/>
    <w:rsid w:val="009F27CC"/>
    <w:rsid w:val="009F3BA3"/>
    <w:rsid w:val="00A00DFD"/>
    <w:rsid w:val="00A117C3"/>
    <w:rsid w:val="00A16FC7"/>
    <w:rsid w:val="00A262EC"/>
    <w:rsid w:val="00A315B5"/>
    <w:rsid w:val="00A34C83"/>
    <w:rsid w:val="00A41E4C"/>
    <w:rsid w:val="00A43F9C"/>
    <w:rsid w:val="00A45E72"/>
    <w:rsid w:val="00A61B2D"/>
    <w:rsid w:val="00A673FC"/>
    <w:rsid w:val="00A674D2"/>
    <w:rsid w:val="00A778A3"/>
    <w:rsid w:val="00A83BB6"/>
    <w:rsid w:val="00A934E8"/>
    <w:rsid w:val="00A9388F"/>
    <w:rsid w:val="00A95634"/>
    <w:rsid w:val="00AA1786"/>
    <w:rsid w:val="00AC056A"/>
    <w:rsid w:val="00AD6CFD"/>
    <w:rsid w:val="00AD73C6"/>
    <w:rsid w:val="00AF4E90"/>
    <w:rsid w:val="00B122F4"/>
    <w:rsid w:val="00B15EDD"/>
    <w:rsid w:val="00B20445"/>
    <w:rsid w:val="00B322A6"/>
    <w:rsid w:val="00B363B8"/>
    <w:rsid w:val="00B66837"/>
    <w:rsid w:val="00BA2223"/>
    <w:rsid w:val="00BA3A21"/>
    <w:rsid w:val="00BA6365"/>
    <w:rsid w:val="00BC195D"/>
    <w:rsid w:val="00BC6D8C"/>
    <w:rsid w:val="00BE3FBC"/>
    <w:rsid w:val="00BE701F"/>
    <w:rsid w:val="00BF5512"/>
    <w:rsid w:val="00C03478"/>
    <w:rsid w:val="00C326DB"/>
    <w:rsid w:val="00C36CD8"/>
    <w:rsid w:val="00C564F5"/>
    <w:rsid w:val="00C676AB"/>
    <w:rsid w:val="00C70FC7"/>
    <w:rsid w:val="00C72FA1"/>
    <w:rsid w:val="00C8139A"/>
    <w:rsid w:val="00C86150"/>
    <w:rsid w:val="00CA1A7E"/>
    <w:rsid w:val="00CC4A34"/>
    <w:rsid w:val="00CD0123"/>
    <w:rsid w:val="00CD7417"/>
    <w:rsid w:val="00CF0E41"/>
    <w:rsid w:val="00D00146"/>
    <w:rsid w:val="00D01655"/>
    <w:rsid w:val="00D02548"/>
    <w:rsid w:val="00D17650"/>
    <w:rsid w:val="00D20E75"/>
    <w:rsid w:val="00D23A91"/>
    <w:rsid w:val="00D33FF6"/>
    <w:rsid w:val="00D52115"/>
    <w:rsid w:val="00D54246"/>
    <w:rsid w:val="00D62E6B"/>
    <w:rsid w:val="00D74357"/>
    <w:rsid w:val="00D83CF9"/>
    <w:rsid w:val="00D97F39"/>
    <w:rsid w:val="00DA6383"/>
    <w:rsid w:val="00DE1010"/>
    <w:rsid w:val="00DE50AB"/>
    <w:rsid w:val="00DE64F2"/>
    <w:rsid w:val="00DF7BB5"/>
    <w:rsid w:val="00E01077"/>
    <w:rsid w:val="00E21BBD"/>
    <w:rsid w:val="00E220EB"/>
    <w:rsid w:val="00E2785B"/>
    <w:rsid w:val="00E41704"/>
    <w:rsid w:val="00E528B9"/>
    <w:rsid w:val="00E57C47"/>
    <w:rsid w:val="00E82E3B"/>
    <w:rsid w:val="00EB0F7E"/>
    <w:rsid w:val="00EB4B3A"/>
    <w:rsid w:val="00EB5F67"/>
    <w:rsid w:val="00EE266C"/>
    <w:rsid w:val="00F0156D"/>
    <w:rsid w:val="00F233EF"/>
    <w:rsid w:val="00F40049"/>
    <w:rsid w:val="00F445BB"/>
    <w:rsid w:val="00F62EDD"/>
    <w:rsid w:val="00F7120A"/>
    <w:rsid w:val="00F833D0"/>
    <w:rsid w:val="00F92A98"/>
    <w:rsid w:val="00F940C2"/>
    <w:rsid w:val="00FA0D0C"/>
    <w:rsid w:val="00FD03BB"/>
    <w:rsid w:val="00FD2033"/>
    <w:rsid w:val="00FD5671"/>
    <w:rsid w:val="00FD6B1A"/>
    <w:rsid w:val="0133230E"/>
    <w:rsid w:val="01B37B6C"/>
    <w:rsid w:val="01BF77F3"/>
    <w:rsid w:val="01C36B78"/>
    <w:rsid w:val="01F5081F"/>
    <w:rsid w:val="01F90037"/>
    <w:rsid w:val="020701BE"/>
    <w:rsid w:val="020A2558"/>
    <w:rsid w:val="0265719A"/>
    <w:rsid w:val="02F85304"/>
    <w:rsid w:val="03080CC6"/>
    <w:rsid w:val="03087FD8"/>
    <w:rsid w:val="031506AC"/>
    <w:rsid w:val="038B7B48"/>
    <w:rsid w:val="03973B6D"/>
    <w:rsid w:val="03D16759"/>
    <w:rsid w:val="03DE5CE8"/>
    <w:rsid w:val="03F80FFC"/>
    <w:rsid w:val="044558E6"/>
    <w:rsid w:val="045A3558"/>
    <w:rsid w:val="05873034"/>
    <w:rsid w:val="064E50D1"/>
    <w:rsid w:val="069507A7"/>
    <w:rsid w:val="06C50734"/>
    <w:rsid w:val="06EE3CA5"/>
    <w:rsid w:val="075B476E"/>
    <w:rsid w:val="0775649E"/>
    <w:rsid w:val="07AF369A"/>
    <w:rsid w:val="07F14A64"/>
    <w:rsid w:val="084B4E0B"/>
    <w:rsid w:val="085D7EC7"/>
    <w:rsid w:val="08802E7C"/>
    <w:rsid w:val="08835F03"/>
    <w:rsid w:val="08B3137E"/>
    <w:rsid w:val="08E2341C"/>
    <w:rsid w:val="08F154F2"/>
    <w:rsid w:val="0906435C"/>
    <w:rsid w:val="09696565"/>
    <w:rsid w:val="09B70D36"/>
    <w:rsid w:val="09C57815"/>
    <w:rsid w:val="09D00161"/>
    <w:rsid w:val="09EC3769"/>
    <w:rsid w:val="09FE5627"/>
    <w:rsid w:val="0A2146E9"/>
    <w:rsid w:val="0A375FED"/>
    <w:rsid w:val="0A912441"/>
    <w:rsid w:val="0A9772FC"/>
    <w:rsid w:val="0AA730AB"/>
    <w:rsid w:val="0ABE77DE"/>
    <w:rsid w:val="0AD21F02"/>
    <w:rsid w:val="0AD67597"/>
    <w:rsid w:val="0B79332F"/>
    <w:rsid w:val="0BD24DAA"/>
    <w:rsid w:val="0BEE7A4D"/>
    <w:rsid w:val="0BFD2649"/>
    <w:rsid w:val="0C2002BA"/>
    <w:rsid w:val="0C5F464D"/>
    <w:rsid w:val="0C724F20"/>
    <w:rsid w:val="0CF56425"/>
    <w:rsid w:val="0D185E65"/>
    <w:rsid w:val="0D20087D"/>
    <w:rsid w:val="0DFD570A"/>
    <w:rsid w:val="0E944C8E"/>
    <w:rsid w:val="0E9633AB"/>
    <w:rsid w:val="0F4B38E4"/>
    <w:rsid w:val="0F5355BD"/>
    <w:rsid w:val="0FAF4076"/>
    <w:rsid w:val="0FC03558"/>
    <w:rsid w:val="103C5A18"/>
    <w:rsid w:val="105B2A58"/>
    <w:rsid w:val="106A56BE"/>
    <w:rsid w:val="10741C34"/>
    <w:rsid w:val="10AC1BBD"/>
    <w:rsid w:val="10AE3B69"/>
    <w:rsid w:val="113528B5"/>
    <w:rsid w:val="115B6CEA"/>
    <w:rsid w:val="115C711A"/>
    <w:rsid w:val="11983A02"/>
    <w:rsid w:val="11F07ECF"/>
    <w:rsid w:val="12221800"/>
    <w:rsid w:val="1223465F"/>
    <w:rsid w:val="127174DA"/>
    <w:rsid w:val="129F5044"/>
    <w:rsid w:val="131A54DB"/>
    <w:rsid w:val="1339415C"/>
    <w:rsid w:val="135C1BC3"/>
    <w:rsid w:val="13953D1C"/>
    <w:rsid w:val="13A650DB"/>
    <w:rsid w:val="13C065F8"/>
    <w:rsid w:val="13D801F6"/>
    <w:rsid w:val="1432352B"/>
    <w:rsid w:val="147C11E9"/>
    <w:rsid w:val="14C648C3"/>
    <w:rsid w:val="14F27900"/>
    <w:rsid w:val="15B60FE2"/>
    <w:rsid w:val="15B801B2"/>
    <w:rsid w:val="15E00F73"/>
    <w:rsid w:val="170359CC"/>
    <w:rsid w:val="17322078"/>
    <w:rsid w:val="17323647"/>
    <w:rsid w:val="17BD6263"/>
    <w:rsid w:val="17D562DB"/>
    <w:rsid w:val="180B27E4"/>
    <w:rsid w:val="18770BF8"/>
    <w:rsid w:val="1891115B"/>
    <w:rsid w:val="18B84D76"/>
    <w:rsid w:val="19352791"/>
    <w:rsid w:val="19965464"/>
    <w:rsid w:val="19D24E19"/>
    <w:rsid w:val="19D90153"/>
    <w:rsid w:val="19F9555C"/>
    <w:rsid w:val="1A270EA8"/>
    <w:rsid w:val="1AAD6701"/>
    <w:rsid w:val="1AB161DF"/>
    <w:rsid w:val="1AD5508B"/>
    <w:rsid w:val="1B5D01D4"/>
    <w:rsid w:val="1B8F21F5"/>
    <w:rsid w:val="1B964E85"/>
    <w:rsid w:val="1C071480"/>
    <w:rsid w:val="1C1F13DD"/>
    <w:rsid w:val="1C232805"/>
    <w:rsid w:val="1C7503BE"/>
    <w:rsid w:val="1C8C3B00"/>
    <w:rsid w:val="1CEA597D"/>
    <w:rsid w:val="1D383B9A"/>
    <w:rsid w:val="1D5F34A8"/>
    <w:rsid w:val="1D8F55A6"/>
    <w:rsid w:val="1DF55451"/>
    <w:rsid w:val="1E1618F2"/>
    <w:rsid w:val="1E3C5E5E"/>
    <w:rsid w:val="1E5C3A85"/>
    <w:rsid w:val="1E6B5354"/>
    <w:rsid w:val="1E97097E"/>
    <w:rsid w:val="1EB0032A"/>
    <w:rsid w:val="1EB55E7F"/>
    <w:rsid w:val="1F053B1E"/>
    <w:rsid w:val="1F2A563D"/>
    <w:rsid w:val="1FCD2543"/>
    <w:rsid w:val="1FFF1337"/>
    <w:rsid w:val="209E10CC"/>
    <w:rsid w:val="20D95E3A"/>
    <w:rsid w:val="20F02161"/>
    <w:rsid w:val="212D281A"/>
    <w:rsid w:val="216D1C12"/>
    <w:rsid w:val="21A237B3"/>
    <w:rsid w:val="21AF224F"/>
    <w:rsid w:val="21D557A3"/>
    <w:rsid w:val="224F3CE7"/>
    <w:rsid w:val="227B3A7D"/>
    <w:rsid w:val="22977855"/>
    <w:rsid w:val="22BC66BB"/>
    <w:rsid w:val="231019BB"/>
    <w:rsid w:val="23781273"/>
    <w:rsid w:val="23B242EE"/>
    <w:rsid w:val="243C6939"/>
    <w:rsid w:val="25002164"/>
    <w:rsid w:val="25A52056"/>
    <w:rsid w:val="25CB5522"/>
    <w:rsid w:val="268353ED"/>
    <w:rsid w:val="269001FB"/>
    <w:rsid w:val="27A95792"/>
    <w:rsid w:val="27C15EBD"/>
    <w:rsid w:val="27C56F88"/>
    <w:rsid w:val="27EC4C30"/>
    <w:rsid w:val="27F71678"/>
    <w:rsid w:val="28111D3D"/>
    <w:rsid w:val="284B606E"/>
    <w:rsid w:val="28537982"/>
    <w:rsid w:val="289B04E4"/>
    <w:rsid w:val="28C466F3"/>
    <w:rsid w:val="28CF5B6C"/>
    <w:rsid w:val="294E54F6"/>
    <w:rsid w:val="29F108FE"/>
    <w:rsid w:val="2A0A381D"/>
    <w:rsid w:val="2A1A27A5"/>
    <w:rsid w:val="2A1F37B9"/>
    <w:rsid w:val="2A3737D9"/>
    <w:rsid w:val="2A792887"/>
    <w:rsid w:val="2A933122"/>
    <w:rsid w:val="2AAE6B85"/>
    <w:rsid w:val="2B006CBF"/>
    <w:rsid w:val="2B4750C7"/>
    <w:rsid w:val="2B95384F"/>
    <w:rsid w:val="2BFE3DF7"/>
    <w:rsid w:val="2C0F1BBC"/>
    <w:rsid w:val="2C774823"/>
    <w:rsid w:val="2CBC621B"/>
    <w:rsid w:val="2CE43A4B"/>
    <w:rsid w:val="2D386B2E"/>
    <w:rsid w:val="2D3A7A78"/>
    <w:rsid w:val="2DEE6BA0"/>
    <w:rsid w:val="2E0E508B"/>
    <w:rsid w:val="2E387E08"/>
    <w:rsid w:val="2ECE1399"/>
    <w:rsid w:val="2EF96BD5"/>
    <w:rsid w:val="2F1033F6"/>
    <w:rsid w:val="2F135A2F"/>
    <w:rsid w:val="2F2A2271"/>
    <w:rsid w:val="2FA70253"/>
    <w:rsid w:val="2FB00AFA"/>
    <w:rsid w:val="2FD03AE2"/>
    <w:rsid w:val="304A69F3"/>
    <w:rsid w:val="30667D09"/>
    <w:rsid w:val="3085446E"/>
    <w:rsid w:val="30AC26D0"/>
    <w:rsid w:val="31C07BCE"/>
    <w:rsid w:val="329C72D2"/>
    <w:rsid w:val="32B96D6E"/>
    <w:rsid w:val="33212FC1"/>
    <w:rsid w:val="333C66BC"/>
    <w:rsid w:val="34243C46"/>
    <w:rsid w:val="34585557"/>
    <w:rsid w:val="345D5736"/>
    <w:rsid w:val="34CF05D0"/>
    <w:rsid w:val="350870D5"/>
    <w:rsid w:val="35D4722F"/>
    <w:rsid w:val="35F252BC"/>
    <w:rsid w:val="36074CEE"/>
    <w:rsid w:val="361B1D6B"/>
    <w:rsid w:val="365F7B46"/>
    <w:rsid w:val="36B40E13"/>
    <w:rsid w:val="36CD762E"/>
    <w:rsid w:val="37173019"/>
    <w:rsid w:val="3737781B"/>
    <w:rsid w:val="376300D7"/>
    <w:rsid w:val="37642CFE"/>
    <w:rsid w:val="37762BB0"/>
    <w:rsid w:val="37BF6DC8"/>
    <w:rsid w:val="37CB420F"/>
    <w:rsid w:val="37D20D5E"/>
    <w:rsid w:val="37EA315F"/>
    <w:rsid w:val="387111F8"/>
    <w:rsid w:val="38D06289"/>
    <w:rsid w:val="3901294B"/>
    <w:rsid w:val="390D145D"/>
    <w:rsid w:val="39AB3C4E"/>
    <w:rsid w:val="39F76189"/>
    <w:rsid w:val="3A4E5AA8"/>
    <w:rsid w:val="3A9B0363"/>
    <w:rsid w:val="3AC34EB1"/>
    <w:rsid w:val="3BBA4EAE"/>
    <w:rsid w:val="3C082D4E"/>
    <w:rsid w:val="3CC20547"/>
    <w:rsid w:val="3D0420C1"/>
    <w:rsid w:val="3D596789"/>
    <w:rsid w:val="3D661EA8"/>
    <w:rsid w:val="3DCC0226"/>
    <w:rsid w:val="3E417206"/>
    <w:rsid w:val="3E6B1BF8"/>
    <w:rsid w:val="3F4E20EF"/>
    <w:rsid w:val="3F6D2368"/>
    <w:rsid w:val="3F7B5D15"/>
    <w:rsid w:val="3F9A57C6"/>
    <w:rsid w:val="3FB94D86"/>
    <w:rsid w:val="3FCC37B7"/>
    <w:rsid w:val="3FD91314"/>
    <w:rsid w:val="40427224"/>
    <w:rsid w:val="405727A9"/>
    <w:rsid w:val="40595150"/>
    <w:rsid w:val="409C783E"/>
    <w:rsid w:val="40B973AC"/>
    <w:rsid w:val="40D865EC"/>
    <w:rsid w:val="40E244CC"/>
    <w:rsid w:val="4149461C"/>
    <w:rsid w:val="41EB7A5D"/>
    <w:rsid w:val="42005165"/>
    <w:rsid w:val="4214326F"/>
    <w:rsid w:val="42457241"/>
    <w:rsid w:val="42B47FCF"/>
    <w:rsid w:val="42DD4D26"/>
    <w:rsid w:val="43463F6B"/>
    <w:rsid w:val="43705E58"/>
    <w:rsid w:val="43F70161"/>
    <w:rsid w:val="441F2401"/>
    <w:rsid w:val="4467209C"/>
    <w:rsid w:val="44CF1B3C"/>
    <w:rsid w:val="452F2BBE"/>
    <w:rsid w:val="459A1D6F"/>
    <w:rsid w:val="45BA366C"/>
    <w:rsid w:val="45D051EA"/>
    <w:rsid w:val="45E208DD"/>
    <w:rsid w:val="462A6BC3"/>
    <w:rsid w:val="467116E2"/>
    <w:rsid w:val="46980456"/>
    <w:rsid w:val="47075074"/>
    <w:rsid w:val="471A76D7"/>
    <w:rsid w:val="473F1951"/>
    <w:rsid w:val="47424401"/>
    <w:rsid w:val="475F7B6A"/>
    <w:rsid w:val="476B5F53"/>
    <w:rsid w:val="47A23198"/>
    <w:rsid w:val="47C6730F"/>
    <w:rsid w:val="47FC13CF"/>
    <w:rsid w:val="486B2A28"/>
    <w:rsid w:val="48980B7D"/>
    <w:rsid w:val="48D17006"/>
    <w:rsid w:val="492770A3"/>
    <w:rsid w:val="49751537"/>
    <w:rsid w:val="49B034E5"/>
    <w:rsid w:val="49B0552D"/>
    <w:rsid w:val="49C56CD7"/>
    <w:rsid w:val="49C823E1"/>
    <w:rsid w:val="4A171AA5"/>
    <w:rsid w:val="4A371F1E"/>
    <w:rsid w:val="4A681217"/>
    <w:rsid w:val="4A7E3363"/>
    <w:rsid w:val="4A8F2E0F"/>
    <w:rsid w:val="4A9D0206"/>
    <w:rsid w:val="4AD62ADB"/>
    <w:rsid w:val="4B425DA7"/>
    <w:rsid w:val="4B4C44B5"/>
    <w:rsid w:val="4B5A4D14"/>
    <w:rsid w:val="4B7122DD"/>
    <w:rsid w:val="4BE36843"/>
    <w:rsid w:val="4C0220E3"/>
    <w:rsid w:val="4C0C1417"/>
    <w:rsid w:val="4C4B7F6F"/>
    <w:rsid w:val="4C562517"/>
    <w:rsid w:val="4C8D0964"/>
    <w:rsid w:val="4CC415DD"/>
    <w:rsid w:val="4CCE22AC"/>
    <w:rsid w:val="4CD54BEB"/>
    <w:rsid w:val="4D4D49A1"/>
    <w:rsid w:val="4D513DE8"/>
    <w:rsid w:val="4D8A3A70"/>
    <w:rsid w:val="4DCB35A9"/>
    <w:rsid w:val="4DD77608"/>
    <w:rsid w:val="4E882BD1"/>
    <w:rsid w:val="4F070BFA"/>
    <w:rsid w:val="4F101A45"/>
    <w:rsid w:val="4F2731AE"/>
    <w:rsid w:val="4F8F2BC9"/>
    <w:rsid w:val="4F9D3305"/>
    <w:rsid w:val="4F9E61A9"/>
    <w:rsid w:val="4FAF7092"/>
    <w:rsid w:val="4FE9159D"/>
    <w:rsid w:val="50130581"/>
    <w:rsid w:val="503710A5"/>
    <w:rsid w:val="50486C50"/>
    <w:rsid w:val="50723B0C"/>
    <w:rsid w:val="509E3069"/>
    <w:rsid w:val="50B64B16"/>
    <w:rsid w:val="5162667E"/>
    <w:rsid w:val="517644D0"/>
    <w:rsid w:val="51D3281B"/>
    <w:rsid w:val="5212751D"/>
    <w:rsid w:val="5213732D"/>
    <w:rsid w:val="529262ED"/>
    <w:rsid w:val="52DB671B"/>
    <w:rsid w:val="52F77F31"/>
    <w:rsid w:val="530D41F0"/>
    <w:rsid w:val="53C67937"/>
    <w:rsid w:val="54830B4D"/>
    <w:rsid w:val="54EA1CB1"/>
    <w:rsid w:val="55C22104"/>
    <w:rsid w:val="55FC3146"/>
    <w:rsid w:val="56D107DE"/>
    <w:rsid w:val="56FA1E4F"/>
    <w:rsid w:val="57063D63"/>
    <w:rsid w:val="572F62C0"/>
    <w:rsid w:val="574F499F"/>
    <w:rsid w:val="581E6B2F"/>
    <w:rsid w:val="587A160D"/>
    <w:rsid w:val="58884601"/>
    <w:rsid w:val="58902FB0"/>
    <w:rsid w:val="58955ECE"/>
    <w:rsid w:val="58B96B70"/>
    <w:rsid w:val="59592BED"/>
    <w:rsid w:val="59725FA0"/>
    <w:rsid w:val="59AC6753"/>
    <w:rsid w:val="59AD74BC"/>
    <w:rsid w:val="59AF1069"/>
    <w:rsid w:val="59B3176A"/>
    <w:rsid w:val="59E0772A"/>
    <w:rsid w:val="5A192803"/>
    <w:rsid w:val="5A5C05F2"/>
    <w:rsid w:val="5ACB6171"/>
    <w:rsid w:val="5AD261A4"/>
    <w:rsid w:val="5B100ABA"/>
    <w:rsid w:val="5B366AE3"/>
    <w:rsid w:val="5B4110B1"/>
    <w:rsid w:val="5B6E6855"/>
    <w:rsid w:val="5B7757C3"/>
    <w:rsid w:val="5BC71CE4"/>
    <w:rsid w:val="5BE42714"/>
    <w:rsid w:val="5C8C4373"/>
    <w:rsid w:val="5CDA37C6"/>
    <w:rsid w:val="5CF10906"/>
    <w:rsid w:val="5D0C0A28"/>
    <w:rsid w:val="5D180F00"/>
    <w:rsid w:val="5D3A4D53"/>
    <w:rsid w:val="5D4D7AA3"/>
    <w:rsid w:val="5D760C61"/>
    <w:rsid w:val="5DD2103D"/>
    <w:rsid w:val="5E02331B"/>
    <w:rsid w:val="5E200121"/>
    <w:rsid w:val="5F2D06E4"/>
    <w:rsid w:val="5F795ED8"/>
    <w:rsid w:val="5FAC691A"/>
    <w:rsid w:val="606211AB"/>
    <w:rsid w:val="60AF1ED3"/>
    <w:rsid w:val="615653C7"/>
    <w:rsid w:val="61B552CB"/>
    <w:rsid w:val="622B0529"/>
    <w:rsid w:val="623D2A1E"/>
    <w:rsid w:val="62634B02"/>
    <w:rsid w:val="626B7E42"/>
    <w:rsid w:val="627463DF"/>
    <w:rsid w:val="62C26AE8"/>
    <w:rsid w:val="63014E35"/>
    <w:rsid w:val="630E5799"/>
    <w:rsid w:val="6395326E"/>
    <w:rsid w:val="639F761C"/>
    <w:rsid w:val="63C76F87"/>
    <w:rsid w:val="63D36612"/>
    <w:rsid w:val="63E6427D"/>
    <w:rsid w:val="63F57CA6"/>
    <w:rsid w:val="64356D29"/>
    <w:rsid w:val="648157C2"/>
    <w:rsid w:val="64AF7DE9"/>
    <w:rsid w:val="64FC3AC2"/>
    <w:rsid w:val="65897CA1"/>
    <w:rsid w:val="65AC6760"/>
    <w:rsid w:val="65F47888"/>
    <w:rsid w:val="6679564E"/>
    <w:rsid w:val="667A1435"/>
    <w:rsid w:val="668559D9"/>
    <w:rsid w:val="66B472F5"/>
    <w:rsid w:val="671E3059"/>
    <w:rsid w:val="674D752C"/>
    <w:rsid w:val="6859675D"/>
    <w:rsid w:val="68A27C13"/>
    <w:rsid w:val="68EF6C25"/>
    <w:rsid w:val="68FD0E30"/>
    <w:rsid w:val="69285238"/>
    <w:rsid w:val="6983669F"/>
    <w:rsid w:val="698962A6"/>
    <w:rsid w:val="698A7DC2"/>
    <w:rsid w:val="6A547313"/>
    <w:rsid w:val="6A6E4042"/>
    <w:rsid w:val="6B520F8D"/>
    <w:rsid w:val="6B7736F5"/>
    <w:rsid w:val="6B902A8C"/>
    <w:rsid w:val="6BE22CAB"/>
    <w:rsid w:val="6BE729A8"/>
    <w:rsid w:val="6C755689"/>
    <w:rsid w:val="6D720F2F"/>
    <w:rsid w:val="6D79309A"/>
    <w:rsid w:val="6D84016B"/>
    <w:rsid w:val="6E4167D1"/>
    <w:rsid w:val="6F094924"/>
    <w:rsid w:val="6F3714B1"/>
    <w:rsid w:val="6F701488"/>
    <w:rsid w:val="6FE1070E"/>
    <w:rsid w:val="702E0599"/>
    <w:rsid w:val="704B5536"/>
    <w:rsid w:val="709D70E4"/>
    <w:rsid w:val="70A4272B"/>
    <w:rsid w:val="70B6611B"/>
    <w:rsid w:val="714D7930"/>
    <w:rsid w:val="715059A9"/>
    <w:rsid w:val="7179031A"/>
    <w:rsid w:val="71B16EAB"/>
    <w:rsid w:val="71ED2A6A"/>
    <w:rsid w:val="72DF5DF1"/>
    <w:rsid w:val="72F33C48"/>
    <w:rsid w:val="73187E75"/>
    <w:rsid w:val="73371755"/>
    <w:rsid w:val="738F04B2"/>
    <w:rsid w:val="73976248"/>
    <w:rsid w:val="73A563D4"/>
    <w:rsid w:val="73BD4271"/>
    <w:rsid w:val="73E73E7F"/>
    <w:rsid w:val="74012DBE"/>
    <w:rsid w:val="74213A7F"/>
    <w:rsid w:val="749A2A9B"/>
    <w:rsid w:val="74E519A2"/>
    <w:rsid w:val="750A597F"/>
    <w:rsid w:val="752A6A75"/>
    <w:rsid w:val="756001D3"/>
    <w:rsid w:val="75E0194F"/>
    <w:rsid w:val="76012C01"/>
    <w:rsid w:val="76311CAC"/>
    <w:rsid w:val="765D29AD"/>
    <w:rsid w:val="7677522A"/>
    <w:rsid w:val="76885466"/>
    <w:rsid w:val="76913910"/>
    <w:rsid w:val="76A36F1B"/>
    <w:rsid w:val="774358AB"/>
    <w:rsid w:val="775B2C78"/>
    <w:rsid w:val="77604A16"/>
    <w:rsid w:val="776154ED"/>
    <w:rsid w:val="77657834"/>
    <w:rsid w:val="788A03C4"/>
    <w:rsid w:val="788B64A8"/>
    <w:rsid w:val="78AE0F20"/>
    <w:rsid w:val="78C6020C"/>
    <w:rsid w:val="78DF12D9"/>
    <w:rsid w:val="791D16E2"/>
    <w:rsid w:val="795C2EAF"/>
    <w:rsid w:val="796532B5"/>
    <w:rsid w:val="79925D6F"/>
    <w:rsid w:val="799C1319"/>
    <w:rsid w:val="79E77BF6"/>
    <w:rsid w:val="79ED421B"/>
    <w:rsid w:val="79FC62C0"/>
    <w:rsid w:val="7A88301C"/>
    <w:rsid w:val="7B0C55A1"/>
    <w:rsid w:val="7B205BF4"/>
    <w:rsid w:val="7BA4395A"/>
    <w:rsid w:val="7BAC6B6F"/>
    <w:rsid w:val="7BEE62F7"/>
    <w:rsid w:val="7BF51F49"/>
    <w:rsid w:val="7BFF6A5E"/>
    <w:rsid w:val="7C6E5722"/>
    <w:rsid w:val="7C6F0EB0"/>
    <w:rsid w:val="7D776718"/>
    <w:rsid w:val="7E854165"/>
    <w:rsid w:val="7E9A398C"/>
    <w:rsid w:val="7EC74278"/>
    <w:rsid w:val="7EEF6AF9"/>
    <w:rsid w:val="7EFF3803"/>
    <w:rsid w:val="7FCA2F02"/>
    <w:rsid w:val="7FFE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AD6CFD"/>
    <w:rPr>
      <w:sz w:val="18"/>
      <w:szCs w:val="18"/>
    </w:rPr>
  </w:style>
  <w:style w:type="paragraph" w:styleId="a4">
    <w:name w:val="footer"/>
    <w:basedOn w:val="a"/>
    <w:link w:val="Char0"/>
    <w:uiPriority w:val="99"/>
    <w:unhideWhenUsed/>
    <w:qFormat/>
    <w:rsid w:val="00AD6C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D6CF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D6CFD"/>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AD6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D6CFD"/>
    <w:rPr>
      <w:b/>
      <w:bCs/>
    </w:rPr>
  </w:style>
  <w:style w:type="character" w:styleId="a9">
    <w:name w:val="Hyperlink"/>
    <w:basedOn w:val="a0"/>
    <w:qFormat/>
    <w:rsid w:val="00AD6CFD"/>
    <w:rPr>
      <w:color w:val="0000FF"/>
      <w:u w:val="single"/>
    </w:rPr>
  </w:style>
  <w:style w:type="character" w:customStyle="1" w:styleId="Char1">
    <w:name w:val="页眉 Char"/>
    <w:basedOn w:val="a0"/>
    <w:link w:val="a5"/>
    <w:uiPriority w:val="99"/>
    <w:qFormat/>
    <w:rsid w:val="00AD6CFD"/>
    <w:rPr>
      <w:sz w:val="18"/>
      <w:szCs w:val="18"/>
    </w:rPr>
  </w:style>
  <w:style w:type="character" w:customStyle="1" w:styleId="Char0">
    <w:name w:val="页脚 Char"/>
    <w:basedOn w:val="a0"/>
    <w:link w:val="a4"/>
    <w:uiPriority w:val="99"/>
    <w:qFormat/>
    <w:rsid w:val="00AD6CFD"/>
    <w:rPr>
      <w:sz w:val="18"/>
      <w:szCs w:val="18"/>
    </w:rPr>
  </w:style>
  <w:style w:type="paragraph" w:customStyle="1" w:styleId="CharCharCharChar">
    <w:name w:val="Char Char Char Char"/>
    <w:basedOn w:val="a"/>
    <w:qFormat/>
    <w:rsid w:val="00AD6CFD"/>
    <w:pPr>
      <w:tabs>
        <w:tab w:val="left" w:pos="360"/>
      </w:tabs>
    </w:pPr>
    <w:rPr>
      <w:sz w:val="24"/>
    </w:rPr>
  </w:style>
  <w:style w:type="character" w:customStyle="1" w:styleId="Char">
    <w:name w:val="批注框文本 Char"/>
    <w:basedOn w:val="a0"/>
    <w:link w:val="a3"/>
    <w:qFormat/>
    <w:rsid w:val="00AD6CFD"/>
    <w:rPr>
      <w:sz w:val="18"/>
      <w:szCs w:val="18"/>
    </w:rPr>
  </w:style>
  <w:style w:type="paragraph" w:customStyle="1" w:styleId="080318">
    <w:name w:val="产品方案正文080318"/>
    <w:basedOn w:val="222"/>
    <w:qFormat/>
    <w:rsid w:val="00AD6CFD"/>
    <w:pPr>
      <w:ind w:firstLine="200"/>
    </w:pPr>
    <w:rPr>
      <w:rFonts w:ascii="宋体"/>
    </w:rPr>
  </w:style>
  <w:style w:type="paragraph" w:customStyle="1" w:styleId="222">
    <w:name w:val="样式 样式 产品正文2 + 首行缩进:  2 字符 + 首行缩进:  2 字符"/>
    <w:basedOn w:val="a"/>
    <w:qFormat/>
    <w:rsid w:val="00AD6CFD"/>
    <w:pPr>
      <w:autoSpaceDE w:val="0"/>
      <w:autoSpaceDN w:val="0"/>
      <w:adjustRightInd w:val="0"/>
      <w:snapToGrid w:val="0"/>
      <w:spacing w:line="360" w:lineRule="auto"/>
      <w:ind w:firstLineChars="200" w:firstLine="480"/>
    </w:pPr>
    <w:rPr>
      <w:rFonts w:ascii="仿宋_GB2312" w:eastAsia="仿宋_GB2312" w:cs="宋体"/>
      <w:sz w:val="24"/>
      <w:szCs w:val="20"/>
      <w:lang w:val="zh-CN"/>
    </w:rPr>
  </w:style>
  <w:style w:type="paragraph" w:styleId="aa">
    <w:name w:val="List Paragraph"/>
    <w:basedOn w:val="a"/>
    <w:uiPriority w:val="34"/>
    <w:qFormat/>
    <w:rsid w:val="00AD6CFD"/>
    <w:pPr>
      <w:ind w:firstLineChars="200" w:firstLine="420"/>
    </w:pPr>
  </w:style>
  <w:style w:type="paragraph" w:customStyle="1" w:styleId="Default">
    <w:name w:val="Default"/>
    <w:qFormat/>
    <w:rsid w:val="00AD6CFD"/>
    <w:pPr>
      <w:widowControl w:val="0"/>
      <w:autoSpaceDE w:val="0"/>
      <w:autoSpaceDN w:val="0"/>
      <w:adjustRightInd w:val="0"/>
    </w:pPr>
    <w:rPr>
      <w:rFonts w:ascii="宋体"/>
      <w:color w:val="000000"/>
      <w:sz w:val="24"/>
      <w:szCs w:val="24"/>
    </w:rPr>
  </w:style>
  <w:style w:type="character" w:customStyle="1" w:styleId="awspan1">
    <w:name w:val="awspan1"/>
    <w:basedOn w:val="a0"/>
    <w:qFormat/>
    <w:rsid w:val="00AD6CFD"/>
    <w:rPr>
      <w:color w:val="000000"/>
      <w:sz w:val="24"/>
      <w:szCs w:val="24"/>
    </w:rPr>
  </w:style>
  <w:style w:type="character" w:customStyle="1" w:styleId="awspan">
    <w:name w:val="awspan"/>
    <w:qFormat/>
    <w:rsid w:val="00AD6CFD"/>
  </w:style>
  <w:style w:type="paragraph" w:customStyle="1" w:styleId="-1">
    <w:name w:val="彩色列表 - 着色 1"/>
    <w:basedOn w:val="a"/>
    <w:uiPriority w:val="34"/>
    <w:qFormat/>
    <w:rsid w:val="00AD6CFD"/>
    <w:pPr>
      <w:ind w:firstLineChars="200" w:firstLine="420"/>
    </w:pPr>
  </w:style>
  <w:style w:type="character" w:customStyle="1" w:styleId="font01">
    <w:name w:val="font01"/>
    <w:basedOn w:val="a0"/>
    <w:qFormat/>
    <w:rsid w:val="00AD6CFD"/>
    <w:rPr>
      <w:rFonts w:ascii="等线" w:eastAsia="等线" w:hAnsi="等线" w:cs="等线" w:hint="eastAsia"/>
      <w:color w:val="000000"/>
      <w:sz w:val="20"/>
      <w:szCs w:val="20"/>
      <w:u w:val="none"/>
    </w:rPr>
  </w:style>
  <w:style w:type="character" w:customStyle="1" w:styleId="font11">
    <w:name w:val="font11"/>
    <w:basedOn w:val="a0"/>
    <w:qFormat/>
    <w:rsid w:val="00AD6CFD"/>
    <w:rPr>
      <w:rFonts w:ascii="宋体" w:eastAsia="宋体" w:hAnsi="宋体" w:cs="宋体" w:hint="eastAsia"/>
      <w:color w:val="000000"/>
      <w:sz w:val="21"/>
      <w:szCs w:val="21"/>
      <w:u w:val="none"/>
    </w:rPr>
  </w:style>
  <w:style w:type="paragraph" w:customStyle="1" w:styleId="-11">
    <w:name w:val="彩色列表 - 强调文字颜色 11"/>
    <w:basedOn w:val="a"/>
    <w:uiPriority w:val="34"/>
    <w:qFormat/>
    <w:rsid w:val="00AD6CF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uosen.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CA79-8E6F-4831-82F6-F72B74F4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4</DocSecurity>
  <Lines>26</Lines>
  <Paragraphs>7</Paragraphs>
  <ScaleCrop>false</ScaleCrop>
  <Company>CNSTOCK</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dcterms:created xsi:type="dcterms:W3CDTF">2022-08-03T16:02:00Z</dcterms:created>
  <dcterms:modified xsi:type="dcterms:W3CDTF">2022-08-03T16:02:00Z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21AE97E52C6F4963A69D4E730D57856A</vt:lpwstr>
  </property>
</Properties>
</file>