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F7" w:rsidRDefault="001A6E7D">
      <w:pPr>
        <w:spacing w:line="360" w:lineRule="auto"/>
        <w:jc w:val="center"/>
        <w:rPr>
          <w:rFonts w:asciiTheme="minorEastAsia" w:hAnsiTheme="minorEastAsia"/>
          <w:b/>
          <w:sz w:val="28"/>
          <w:szCs w:val="28"/>
        </w:rPr>
      </w:pPr>
      <w:r>
        <w:rPr>
          <w:rFonts w:asciiTheme="minorEastAsia" w:hAnsiTheme="minorEastAsia" w:hint="eastAsia"/>
          <w:b/>
          <w:sz w:val="28"/>
          <w:szCs w:val="28"/>
        </w:rPr>
        <w:t>上银基金管理有限公司关于旗下部分基金新增</w:t>
      </w:r>
      <w:r>
        <w:rPr>
          <w:rFonts w:asciiTheme="minorEastAsia" w:hAnsiTheme="minorEastAsia" w:hint="eastAsia"/>
          <w:b/>
          <w:sz w:val="28"/>
          <w:szCs w:val="28"/>
        </w:rPr>
        <w:t>奕丰基金</w:t>
      </w:r>
    </w:p>
    <w:p w:rsidR="00E77EF7" w:rsidRDefault="001A6E7D">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为销售机构及参加费率优惠活动的公告</w:t>
      </w:r>
    </w:p>
    <w:p w:rsidR="00E77EF7" w:rsidRDefault="00E77EF7">
      <w:pPr>
        <w:spacing w:line="360" w:lineRule="auto"/>
        <w:ind w:firstLineChars="200" w:firstLine="480"/>
        <w:rPr>
          <w:rFonts w:asciiTheme="minorEastAsia" w:hAnsiTheme="minorEastAsia"/>
          <w:sz w:val="24"/>
          <w:szCs w:val="24"/>
        </w:rPr>
      </w:pPr>
    </w:p>
    <w:p w:rsidR="00E77EF7" w:rsidRDefault="001A6E7D">
      <w:pPr>
        <w:spacing w:line="360" w:lineRule="auto"/>
        <w:ind w:firstLineChars="200" w:firstLine="420"/>
        <w:jc w:val="left"/>
        <w:rPr>
          <w:rFonts w:ascii="Times New Roman" w:hAnsi="Times New Roman" w:cs="Times New Roman"/>
          <w:color w:val="000000" w:themeColor="text1"/>
        </w:rPr>
      </w:pPr>
      <w:r>
        <w:rPr>
          <w:rFonts w:ascii="Times New Roman" w:hAnsi="Times New Roman" w:cs="Times New Roman"/>
          <w:szCs w:val="21"/>
        </w:rPr>
        <w:t>根据上银基金管理有限公司（以下简称</w:t>
      </w:r>
      <w:r>
        <w:rPr>
          <w:rFonts w:ascii="Times New Roman" w:hAnsi="Times New Roman" w:cs="Times New Roman"/>
          <w:szCs w:val="21"/>
        </w:rPr>
        <w:t>“</w:t>
      </w:r>
      <w:r>
        <w:rPr>
          <w:rFonts w:ascii="Times New Roman" w:hAnsi="Times New Roman" w:cs="Times New Roman"/>
          <w:szCs w:val="21"/>
        </w:rPr>
        <w:t>上银基金</w:t>
      </w:r>
      <w:r>
        <w:rPr>
          <w:rFonts w:ascii="Times New Roman" w:hAnsi="Times New Roman" w:cs="Times New Roman"/>
          <w:szCs w:val="21"/>
        </w:rPr>
        <w:t>”</w:t>
      </w:r>
      <w:r>
        <w:rPr>
          <w:rFonts w:ascii="Times New Roman" w:hAnsi="Times New Roman" w:cs="Times New Roman"/>
          <w:szCs w:val="21"/>
        </w:rPr>
        <w:t>）与</w:t>
      </w:r>
      <w:r>
        <w:rPr>
          <w:rFonts w:ascii="Times New Roman" w:hAnsi="Times New Roman" w:cs="Times New Roman" w:hint="eastAsia"/>
          <w:color w:val="000000" w:themeColor="text1"/>
        </w:rPr>
        <w:t>奕丰基金</w:t>
      </w:r>
      <w:r>
        <w:rPr>
          <w:rFonts w:ascii="Times New Roman" w:hAnsi="Times New Roman" w:cs="Times New Roman" w:hint="eastAsia"/>
          <w:color w:val="000000" w:themeColor="text1"/>
        </w:rPr>
        <w:t>销售有限公司</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以下简称</w:t>
      </w:r>
      <w:r>
        <w:rPr>
          <w:rFonts w:ascii="Times New Roman" w:hAnsi="Times New Roman" w:cs="Times New Roman"/>
          <w:color w:val="000000" w:themeColor="text1"/>
          <w:szCs w:val="21"/>
        </w:rPr>
        <w:t>“</w:t>
      </w:r>
      <w:r>
        <w:rPr>
          <w:rFonts w:ascii="Times New Roman" w:hAnsi="Times New Roman" w:cs="Times New Roman" w:hint="eastAsia"/>
          <w:color w:val="000000" w:themeColor="text1"/>
        </w:rPr>
        <w:t>奕丰基金</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签署的销售协议和相关业务准备情况，自</w:t>
      </w:r>
      <w:r>
        <w:rPr>
          <w:rFonts w:ascii="Times New Roman" w:hAnsi="Times New Roman" w:cs="Times New Roman"/>
          <w:color w:val="000000" w:themeColor="text1"/>
          <w:szCs w:val="21"/>
        </w:rPr>
        <w:t>2022</w:t>
      </w:r>
      <w:r>
        <w:rPr>
          <w:rFonts w:ascii="Times New Roman" w:hAnsi="Times New Roman" w:cs="Times New Roman"/>
          <w:color w:val="000000" w:themeColor="text1"/>
          <w:szCs w:val="21"/>
        </w:rPr>
        <w:t>年</w:t>
      </w:r>
      <w:r>
        <w:rPr>
          <w:rFonts w:ascii="Times New Roman" w:hAnsi="Times New Roman" w:cs="Times New Roman" w:hint="eastAsia"/>
          <w:color w:val="000000" w:themeColor="text1"/>
          <w:szCs w:val="21"/>
        </w:rPr>
        <w:t>7</w:t>
      </w:r>
      <w:r>
        <w:rPr>
          <w:rFonts w:ascii="Times New Roman" w:hAnsi="Times New Roman" w:cs="Times New Roman"/>
          <w:color w:val="000000" w:themeColor="text1"/>
          <w:szCs w:val="21"/>
        </w:rPr>
        <w:t>月</w:t>
      </w:r>
      <w:r>
        <w:rPr>
          <w:rFonts w:ascii="Times New Roman" w:hAnsi="Times New Roman" w:cs="Times New Roman" w:hint="eastAsia"/>
          <w:color w:val="000000" w:themeColor="text1"/>
          <w:szCs w:val="21"/>
        </w:rPr>
        <w:t>29</w:t>
      </w:r>
      <w:r>
        <w:rPr>
          <w:rFonts w:ascii="Times New Roman" w:hAnsi="Times New Roman" w:cs="Times New Roman"/>
          <w:color w:val="000000" w:themeColor="text1"/>
          <w:szCs w:val="21"/>
        </w:rPr>
        <w:t>日起，</w:t>
      </w:r>
      <w:r>
        <w:rPr>
          <w:rFonts w:ascii="Times New Roman" w:hAnsi="Times New Roman" w:cs="Times New Roman" w:hint="eastAsia"/>
          <w:color w:val="000000" w:themeColor="text1"/>
        </w:rPr>
        <w:t>奕丰基金</w:t>
      </w:r>
      <w:r>
        <w:rPr>
          <w:rFonts w:ascii="Times New Roman" w:hAnsi="Times New Roman" w:cs="Times New Roman"/>
          <w:color w:val="000000" w:themeColor="text1"/>
          <w:szCs w:val="21"/>
        </w:rPr>
        <w:t>将开始销售本公司</w:t>
      </w:r>
      <w:r>
        <w:rPr>
          <w:rFonts w:ascii="Times New Roman" w:hAnsi="Times New Roman" w:cs="Times New Roman" w:hint="eastAsia"/>
          <w:color w:val="000000" w:themeColor="text1"/>
          <w:szCs w:val="21"/>
        </w:rPr>
        <w:t>如下基金：</w:t>
      </w:r>
    </w:p>
    <w:tbl>
      <w:tblPr>
        <w:tblStyle w:val="a8"/>
        <w:tblW w:w="5000" w:type="pct"/>
        <w:jc w:val="center"/>
        <w:tblLook w:val="04A0"/>
      </w:tblPr>
      <w:tblGrid>
        <w:gridCol w:w="814"/>
        <w:gridCol w:w="6523"/>
        <w:gridCol w:w="1185"/>
      </w:tblGrid>
      <w:tr w:rsidR="00E77EF7">
        <w:trPr>
          <w:jc w:val="center"/>
        </w:trPr>
        <w:tc>
          <w:tcPr>
            <w:tcW w:w="478" w:type="pct"/>
            <w:vAlign w:val="center"/>
          </w:tcPr>
          <w:p w:rsidR="00E77EF7" w:rsidRDefault="001A6E7D">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bCs/>
                <w:szCs w:val="21"/>
              </w:rPr>
            </w:pPr>
            <w:r>
              <w:rPr>
                <w:rFonts w:asciiTheme="minorEastAsia" w:hAnsiTheme="minorEastAsia" w:hint="eastAsia"/>
                <w:bCs/>
                <w:szCs w:val="21"/>
              </w:rPr>
              <w:t>1</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上银慧财宝货币市场基金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000542</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bCs/>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上银慧财宝货币市场基金</w:t>
            </w:r>
            <w:r>
              <w:rPr>
                <w:rFonts w:ascii="Times New Roman" w:hAnsi="Times New Roman" w:cs="Times New Roman"/>
                <w:color w:val="000000" w:themeColor="text1"/>
                <w:szCs w:val="21"/>
              </w:rPr>
              <w:t>B</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000543</w:t>
            </w:r>
          </w:p>
        </w:tc>
      </w:tr>
      <w:tr w:rsidR="00E77EF7">
        <w:trPr>
          <w:jc w:val="center"/>
        </w:trPr>
        <w:tc>
          <w:tcPr>
            <w:tcW w:w="478" w:type="pct"/>
            <w:vAlign w:val="center"/>
          </w:tcPr>
          <w:p w:rsidR="00E77EF7" w:rsidRDefault="001A6E7D">
            <w:pPr>
              <w:spacing w:line="360" w:lineRule="auto"/>
              <w:jc w:val="center"/>
              <w:rPr>
                <w:rFonts w:asciiTheme="minorEastAsia" w:hAnsiTheme="minorEastAsia"/>
                <w:bCs/>
                <w:szCs w:val="21"/>
              </w:rPr>
            </w:pPr>
            <w:r>
              <w:rPr>
                <w:rFonts w:asciiTheme="minorEastAsia" w:hAnsiTheme="minorEastAsia" w:hint="eastAsia"/>
                <w:bCs/>
                <w:szCs w:val="21"/>
              </w:rPr>
              <w:t>2</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上银慧盈利货币市场基金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002733</w:t>
            </w:r>
          </w:p>
        </w:tc>
      </w:tr>
      <w:tr w:rsidR="00E77EF7">
        <w:trPr>
          <w:jc w:val="center"/>
        </w:trPr>
        <w:tc>
          <w:tcPr>
            <w:tcW w:w="478" w:type="pct"/>
            <w:vAlign w:val="center"/>
          </w:tcPr>
          <w:p w:rsidR="00E77EF7" w:rsidRDefault="001A6E7D">
            <w:pPr>
              <w:spacing w:line="360" w:lineRule="auto"/>
              <w:jc w:val="center"/>
              <w:rPr>
                <w:rFonts w:asciiTheme="minorEastAsia" w:hAnsiTheme="minorEastAsia"/>
                <w:bCs/>
                <w:szCs w:val="21"/>
              </w:rPr>
            </w:pPr>
            <w:r>
              <w:rPr>
                <w:rFonts w:asciiTheme="minorEastAsia" w:hAnsiTheme="minorEastAsia" w:hint="eastAsia"/>
                <w:bCs/>
                <w:szCs w:val="21"/>
              </w:rPr>
              <w:t>3</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上银慧增利货币市场基金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004449</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4</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上银慧恒收益增强债券型证券投资基金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010899</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上银慧恒收益增强债券型证券投资基金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014116</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5</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上银政策性金融债债券型证券投资基金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007492</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6</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上银慧丰利债券型证券投资基金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009284</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7</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上银中债</w:t>
            </w:r>
            <w:r>
              <w:rPr>
                <w:rFonts w:ascii="Times New Roman" w:hAnsi="Times New Roman" w:cs="Times New Roman"/>
                <w:color w:val="000000" w:themeColor="text1"/>
                <w:szCs w:val="21"/>
              </w:rPr>
              <w:t>1-3</w:t>
            </w:r>
            <w:r>
              <w:rPr>
                <w:rFonts w:ascii="Times New Roman" w:hAnsi="Times New Roman" w:cs="Times New Roman"/>
                <w:color w:val="000000" w:themeColor="text1"/>
                <w:szCs w:val="21"/>
              </w:rPr>
              <w:t>年农发行债券指数证券投资基金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007390</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8</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上银中债</w:t>
            </w:r>
            <w:r>
              <w:rPr>
                <w:rFonts w:ascii="Times New Roman" w:hAnsi="Times New Roman" w:cs="Times New Roman"/>
                <w:color w:val="000000" w:themeColor="text1"/>
                <w:szCs w:val="21"/>
              </w:rPr>
              <w:t>1-3</w:t>
            </w:r>
            <w:r>
              <w:rPr>
                <w:rFonts w:ascii="Times New Roman" w:hAnsi="Times New Roman" w:cs="Times New Roman"/>
                <w:color w:val="000000" w:themeColor="text1"/>
                <w:szCs w:val="21"/>
              </w:rPr>
              <w:t>年国开行债券指数证券投资基金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009560</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9</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上银中债</w:t>
            </w:r>
            <w:r>
              <w:rPr>
                <w:rFonts w:ascii="Times New Roman" w:hAnsi="Times New Roman" w:cs="Times New Roman"/>
                <w:color w:val="000000" w:themeColor="text1"/>
                <w:szCs w:val="21"/>
              </w:rPr>
              <w:t>5-10</w:t>
            </w:r>
            <w:r>
              <w:rPr>
                <w:rFonts w:ascii="Times New Roman" w:hAnsi="Times New Roman" w:cs="Times New Roman"/>
                <w:color w:val="000000" w:themeColor="text1"/>
                <w:szCs w:val="21"/>
              </w:rPr>
              <w:t>年国开行债券指数证券投资基金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013138</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10</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上银可转债精选债券型证券投资基金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008897</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上银可转债精选债券型证券投资基金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015748</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11</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上银慧鼎利债券型证券投资基金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012750</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12</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上银慧添利债券型证券投资基金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002486</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13</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上银慧佳盈债券型证券投资基金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005666</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14</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上银鑫卓混合型证券投资基金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008244</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上银鑫卓混合型证券投资基金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015745</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15</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上银新兴价值成长混合型证券投资基金</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000520</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16</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上银鑫达灵活配置混合型证券投资基金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004138</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上银鑫达灵活配置混合型证券投资基金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015753</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lastRenderedPageBreak/>
              <w:t>17</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上银中证</w:t>
            </w:r>
            <w:r>
              <w:rPr>
                <w:rFonts w:ascii="Times New Roman" w:hAnsi="Times New Roman" w:cs="Times New Roman"/>
                <w:color w:val="000000" w:themeColor="text1"/>
                <w:szCs w:val="21"/>
              </w:rPr>
              <w:t>500</w:t>
            </w:r>
            <w:r>
              <w:rPr>
                <w:rFonts w:ascii="Times New Roman" w:hAnsi="Times New Roman" w:cs="Times New Roman"/>
                <w:color w:val="000000" w:themeColor="text1"/>
                <w:szCs w:val="21"/>
              </w:rPr>
              <w:t>指数增强型证券投资基金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009613</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上银中证</w:t>
            </w:r>
            <w:r>
              <w:rPr>
                <w:rFonts w:ascii="Times New Roman" w:hAnsi="Times New Roman" w:cs="Times New Roman"/>
                <w:color w:val="000000" w:themeColor="text1"/>
                <w:szCs w:val="21"/>
              </w:rPr>
              <w:t>500</w:t>
            </w:r>
            <w:r>
              <w:rPr>
                <w:rFonts w:ascii="Times New Roman" w:hAnsi="Times New Roman" w:cs="Times New Roman"/>
                <w:color w:val="000000" w:themeColor="text1"/>
                <w:szCs w:val="21"/>
              </w:rPr>
              <w:t>指数增强型证券投资基金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009614</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18</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上银未来生活灵活配置混合型证券投资基金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007393</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上银未来生活灵活配置混合型证券投资基金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014113</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19</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上银鑫恒混合型证券投资基金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010313</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上银鑫恒混合型证券投资基金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013846</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20</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上银医疗健康混合型证券投资基金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011288</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上银医疗健康混合型证券投资基金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011289</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21</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上银丰益混合型证券投资基金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011504</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上银丰益混合型证券投资基金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011505</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22</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上银科技驱动双周定期可赎回混合型证券投资基金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011277</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上银科技驱动双周定期可赎回混合型证券投资基金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013892</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23</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上银新能源产业精选混合型发起式证券投资基金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015391</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上银新能源产业精选混合型发起式证券投资基金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015392</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24</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上银内需增长股票型证券投资基金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009899</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上银内需增长股票型证券投资基金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015754</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25</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上银核心成长混合型证券投资基金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009918</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上银核心成长混合型证券投资基金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009919</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26</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上银鑫尚稳健回报</w:t>
            </w:r>
            <w:r>
              <w:rPr>
                <w:rFonts w:ascii="Times New Roman" w:hAnsi="Times New Roman" w:cs="Times New Roman"/>
                <w:color w:val="000000" w:themeColor="text1"/>
                <w:szCs w:val="21"/>
              </w:rPr>
              <w:t>6</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012332</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上银鑫尚稳健回报</w:t>
            </w:r>
            <w:r>
              <w:rPr>
                <w:rFonts w:ascii="Times New Roman" w:hAnsi="Times New Roman" w:cs="Times New Roman"/>
                <w:color w:val="000000" w:themeColor="text1"/>
                <w:szCs w:val="21"/>
              </w:rPr>
              <w:t>6</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333333"/>
                <w:szCs w:val="21"/>
                <w:shd w:val="clear" w:color="auto" w:fill="FCFCFC"/>
              </w:rPr>
              <w:t>012333</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27</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上银高质量优选</w:t>
            </w:r>
            <w:r>
              <w:rPr>
                <w:rFonts w:ascii="Times New Roman" w:hAnsi="Times New Roman" w:cs="Times New Roman"/>
                <w:color w:val="000000" w:themeColor="text1"/>
                <w:szCs w:val="21"/>
              </w:rPr>
              <w:t>9</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333333"/>
                <w:szCs w:val="21"/>
                <w:shd w:val="clear" w:color="auto" w:fill="FCFCFC"/>
              </w:rPr>
              <w:t>013358</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上银高质量优选</w:t>
            </w:r>
            <w:r>
              <w:rPr>
                <w:rFonts w:ascii="Times New Roman" w:hAnsi="Times New Roman" w:cs="Times New Roman"/>
                <w:color w:val="000000" w:themeColor="text1"/>
                <w:szCs w:val="21"/>
              </w:rPr>
              <w:t>9</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333333"/>
                <w:szCs w:val="21"/>
                <w:shd w:val="clear" w:color="auto" w:fill="FCFCFC"/>
              </w:rPr>
              <w:t>013359</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28</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上银价值增长</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013284</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上银价值增长</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013285</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29</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上银慧尚</w:t>
            </w:r>
            <w:r>
              <w:rPr>
                <w:rFonts w:ascii="Times New Roman" w:hAnsi="Times New Roman" w:cs="Times New Roman"/>
                <w:color w:val="000000" w:themeColor="text1"/>
                <w:szCs w:val="21"/>
              </w:rPr>
              <w:t>6</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012334</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上银慧尚</w:t>
            </w:r>
            <w:r>
              <w:rPr>
                <w:rFonts w:ascii="Times New Roman" w:hAnsi="Times New Roman" w:cs="Times New Roman"/>
                <w:color w:val="000000" w:themeColor="text1"/>
                <w:szCs w:val="21"/>
              </w:rPr>
              <w:t>6</w:t>
            </w:r>
            <w:r>
              <w:rPr>
                <w:rFonts w:ascii="Times New Roman" w:hAnsi="Times New Roman" w:cs="Times New Roman"/>
                <w:color w:val="000000" w:themeColor="text1"/>
                <w:szCs w:val="21"/>
              </w:rPr>
              <w:t>个月持有期混合型证券投资基金</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012335</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30</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上银恒泰稳健养老目标一年持有期混合型发起式基金中基金（</w:t>
            </w:r>
            <w:r>
              <w:rPr>
                <w:rFonts w:ascii="Times New Roman" w:hAnsi="Times New Roman" w:cs="Times New Roman"/>
                <w:color w:val="000000" w:themeColor="text1"/>
                <w:szCs w:val="21"/>
              </w:rPr>
              <w:t>FOF</w:t>
            </w:r>
            <w:r>
              <w:rPr>
                <w:rFonts w:ascii="Times New Roman" w:hAnsi="Times New Roman" w:cs="Times New Roman"/>
                <w:color w:val="000000" w:themeColor="text1"/>
                <w:szCs w:val="21"/>
              </w:rPr>
              <w:t>）</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013139</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t>31</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上银稳健优选</w:t>
            </w:r>
            <w:r>
              <w:rPr>
                <w:rFonts w:ascii="Times New Roman" w:hAnsi="Times New Roman" w:cs="Times New Roman"/>
                <w:color w:val="000000" w:themeColor="text1"/>
                <w:szCs w:val="21"/>
              </w:rPr>
              <w:t>12</w:t>
            </w:r>
            <w:r>
              <w:rPr>
                <w:rFonts w:ascii="Times New Roman" w:hAnsi="Times New Roman" w:cs="Times New Roman"/>
                <w:color w:val="000000" w:themeColor="text1"/>
                <w:szCs w:val="21"/>
              </w:rPr>
              <w:t>个月持有期混合型发起式基金中基金（</w:t>
            </w:r>
            <w:r>
              <w:rPr>
                <w:rFonts w:ascii="Times New Roman" w:hAnsi="Times New Roman" w:cs="Times New Roman"/>
                <w:color w:val="000000" w:themeColor="text1"/>
                <w:szCs w:val="21"/>
              </w:rPr>
              <w:t>FOF</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013397</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上银稳健优选</w:t>
            </w:r>
            <w:r>
              <w:rPr>
                <w:rFonts w:ascii="Times New Roman" w:hAnsi="Times New Roman" w:cs="Times New Roman"/>
                <w:color w:val="000000" w:themeColor="text1"/>
                <w:szCs w:val="21"/>
              </w:rPr>
              <w:t>12</w:t>
            </w:r>
            <w:r>
              <w:rPr>
                <w:rFonts w:ascii="Times New Roman" w:hAnsi="Times New Roman" w:cs="Times New Roman"/>
                <w:color w:val="000000" w:themeColor="text1"/>
                <w:szCs w:val="21"/>
              </w:rPr>
              <w:t>个月持有期混合型发起式基金中基金（</w:t>
            </w:r>
            <w:r>
              <w:rPr>
                <w:rFonts w:ascii="Times New Roman" w:hAnsi="Times New Roman" w:cs="Times New Roman"/>
                <w:color w:val="000000" w:themeColor="text1"/>
                <w:szCs w:val="21"/>
              </w:rPr>
              <w:t>FOF</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013398</w:t>
            </w:r>
          </w:p>
        </w:tc>
      </w:tr>
      <w:tr w:rsidR="00E77EF7">
        <w:trPr>
          <w:jc w:val="center"/>
        </w:trPr>
        <w:tc>
          <w:tcPr>
            <w:tcW w:w="478" w:type="pct"/>
            <w:vAlign w:val="center"/>
          </w:tcPr>
          <w:p w:rsidR="00E77EF7" w:rsidRDefault="001A6E7D">
            <w:pPr>
              <w:spacing w:line="360" w:lineRule="auto"/>
              <w:jc w:val="center"/>
              <w:rPr>
                <w:rFonts w:asciiTheme="minorEastAsia" w:hAnsiTheme="minorEastAsia"/>
                <w:szCs w:val="21"/>
              </w:rPr>
            </w:pPr>
            <w:r>
              <w:rPr>
                <w:rFonts w:asciiTheme="minorEastAsia" w:hAnsiTheme="minorEastAsia"/>
                <w:szCs w:val="21"/>
              </w:rPr>
              <w:lastRenderedPageBreak/>
              <w:t>32</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上银恒享平衡养老目标三年持有期混合型发起式基金中基金（</w:t>
            </w:r>
            <w:r>
              <w:rPr>
                <w:rFonts w:ascii="Times New Roman" w:hAnsi="Times New Roman" w:cs="Times New Roman"/>
                <w:color w:val="000000" w:themeColor="text1"/>
                <w:szCs w:val="21"/>
              </w:rPr>
              <w:t>FOF</w:t>
            </w:r>
            <w:r>
              <w:rPr>
                <w:rFonts w:ascii="Times New Roman" w:hAnsi="Times New Roman" w:cs="Times New Roman"/>
                <w:color w:val="000000" w:themeColor="text1"/>
                <w:szCs w:val="21"/>
              </w:rPr>
              <w:t>）</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015234</w:t>
            </w:r>
          </w:p>
        </w:tc>
      </w:tr>
      <w:tr w:rsidR="00E77EF7">
        <w:trPr>
          <w:jc w:val="center"/>
        </w:trPr>
        <w:tc>
          <w:tcPr>
            <w:tcW w:w="478" w:type="pct"/>
            <w:vMerge w:val="restart"/>
            <w:vAlign w:val="center"/>
          </w:tcPr>
          <w:p w:rsidR="00E77EF7" w:rsidRDefault="001A6E7D">
            <w:pPr>
              <w:spacing w:line="360" w:lineRule="auto"/>
              <w:jc w:val="center"/>
              <w:rPr>
                <w:rFonts w:asciiTheme="minorEastAsia" w:hAnsiTheme="minorEastAsia"/>
                <w:szCs w:val="21"/>
              </w:rPr>
            </w:pPr>
            <w:r>
              <w:rPr>
                <w:rFonts w:asciiTheme="minorEastAsia" w:hAnsiTheme="minorEastAsia" w:hint="eastAsia"/>
                <w:szCs w:val="21"/>
              </w:rPr>
              <w:t>33</w:t>
            </w: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上银慧享利</w:t>
            </w:r>
            <w:r>
              <w:rPr>
                <w:rFonts w:ascii="Times New Roman" w:hAnsi="Times New Roman" w:cs="Times New Roman" w:hint="eastAsia"/>
                <w:color w:val="000000" w:themeColor="text1"/>
                <w:szCs w:val="21"/>
              </w:rPr>
              <w:t>30</w:t>
            </w:r>
            <w:r>
              <w:rPr>
                <w:rFonts w:ascii="Times New Roman" w:hAnsi="Times New Roman" w:cs="Times New Roman" w:hint="eastAsia"/>
                <w:color w:val="000000" w:themeColor="text1"/>
                <w:szCs w:val="21"/>
              </w:rPr>
              <w:t>天滚动持有中短债债券型发起式证券投资基金</w:t>
            </w:r>
            <w:r>
              <w:rPr>
                <w:rFonts w:ascii="Times New Roman" w:hAnsi="Times New Roman" w:cs="Times New Roman"/>
                <w:color w:val="000000" w:themeColor="text1"/>
                <w:szCs w:val="21"/>
              </w:rPr>
              <w:t>A</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015942</w:t>
            </w:r>
          </w:p>
        </w:tc>
      </w:tr>
      <w:tr w:rsidR="00E77EF7">
        <w:trPr>
          <w:jc w:val="center"/>
        </w:trPr>
        <w:tc>
          <w:tcPr>
            <w:tcW w:w="478" w:type="pct"/>
            <w:vMerge/>
            <w:vAlign w:val="center"/>
          </w:tcPr>
          <w:p w:rsidR="00E77EF7" w:rsidRDefault="00E77EF7">
            <w:pPr>
              <w:spacing w:line="360" w:lineRule="auto"/>
              <w:jc w:val="center"/>
              <w:rPr>
                <w:rFonts w:asciiTheme="minorEastAsia" w:hAnsiTheme="minorEastAsia"/>
                <w:szCs w:val="21"/>
              </w:rPr>
            </w:pPr>
          </w:p>
        </w:tc>
        <w:tc>
          <w:tcPr>
            <w:tcW w:w="3826"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上银慧享利</w:t>
            </w:r>
            <w:r>
              <w:rPr>
                <w:rFonts w:ascii="Times New Roman" w:hAnsi="Times New Roman" w:cs="Times New Roman" w:hint="eastAsia"/>
                <w:color w:val="000000" w:themeColor="text1"/>
                <w:szCs w:val="21"/>
              </w:rPr>
              <w:t>30</w:t>
            </w:r>
            <w:r>
              <w:rPr>
                <w:rFonts w:ascii="Times New Roman" w:hAnsi="Times New Roman" w:cs="Times New Roman" w:hint="eastAsia"/>
                <w:color w:val="000000" w:themeColor="text1"/>
                <w:szCs w:val="21"/>
              </w:rPr>
              <w:t>天滚动持有中短债债券型发起式证券投资基金</w:t>
            </w:r>
            <w:r>
              <w:rPr>
                <w:rFonts w:ascii="Times New Roman" w:hAnsi="Times New Roman" w:cs="Times New Roman" w:hint="eastAsia"/>
                <w:color w:val="000000" w:themeColor="text1"/>
                <w:szCs w:val="21"/>
              </w:rPr>
              <w:t>C</w:t>
            </w:r>
            <w:r>
              <w:rPr>
                <w:rFonts w:ascii="Times New Roman" w:hAnsi="Times New Roman" w:cs="Times New Roman"/>
                <w:color w:val="000000" w:themeColor="text1"/>
                <w:szCs w:val="21"/>
              </w:rPr>
              <w:t>类</w:t>
            </w:r>
          </w:p>
        </w:tc>
        <w:tc>
          <w:tcPr>
            <w:tcW w:w="695" w:type="pct"/>
            <w:vAlign w:val="center"/>
          </w:tcPr>
          <w:p w:rsidR="00E77EF7" w:rsidRDefault="001A6E7D">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015943</w:t>
            </w:r>
          </w:p>
        </w:tc>
      </w:tr>
    </w:tbl>
    <w:p w:rsidR="00E77EF7" w:rsidRDefault="00E77EF7">
      <w:pPr>
        <w:spacing w:line="360" w:lineRule="auto"/>
        <w:jc w:val="left"/>
        <w:rPr>
          <w:rFonts w:ascii="Times New Roman" w:hAnsi="Times New Roman" w:cs="Times New Roman"/>
          <w:color w:val="000000" w:themeColor="text1"/>
          <w:szCs w:val="21"/>
        </w:rPr>
      </w:pPr>
    </w:p>
    <w:p w:rsidR="00E77EF7" w:rsidRDefault="001A6E7D">
      <w:pPr>
        <w:spacing w:line="360" w:lineRule="auto"/>
        <w:ind w:firstLineChars="200" w:firstLine="420"/>
        <w:rPr>
          <w:rFonts w:asciiTheme="minorEastAsia" w:hAnsiTheme="minorEastAsia"/>
          <w:szCs w:val="21"/>
        </w:rPr>
      </w:pPr>
      <w:r>
        <w:rPr>
          <w:rFonts w:asciiTheme="minorEastAsia" w:hAnsiTheme="minorEastAsia" w:hint="eastAsia"/>
          <w:szCs w:val="21"/>
        </w:rPr>
        <w:t>一、自</w:t>
      </w:r>
      <w:r>
        <w:rPr>
          <w:rFonts w:ascii="Times New Roman" w:hAnsi="Times New Roman" w:cs="Times New Roman"/>
          <w:szCs w:val="21"/>
        </w:rPr>
        <w:t>2022</w:t>
      </w:r>
      <w:r>
        <w:rPr>
          <w:rFonts w:asciiTheme="minorEastAsia" w:hAnsiTheme="minorEastAsia" w:hint="eastAsia"/>
          <w:szCs w:val="21"/>
        </w:rPr>
        <w:t>年</w:t>
      </w:r>
      <w:r>
        <w:rPr>
          <w:rFonts w:ascii="Times New Roman" w:hAnsi="Times New Roman" w:cs="Times New Roman" w:hint="eastAsia"/>
          <w:szCs w:val="21"/>
        </w:rPr>
        <w:t>7</w:t>
      </w:r>
      <w:r>
        <w:rPr>
          <w:rFonts w:asciiTheme="minorEastAsia" w:hAnsiTheme="minorEastAsia" w:hint="eastAsia"/>
          <w:szCs w:val="21"/>
        </w:rPr>
        <w:t>月</w:t>
      </w:r>
      <w:r>
        <w:rPr>
          <w:rFonts w:ascii="Times New Roman" w:hAnsi="Times New Roman" w:cs="Times New Roman" w:hint="eastAsia"/>
          <w:szCs w:val="21"/>
        </w:rPr>
        <w:t>29</w:t>
      </w:r>
      <w:r>
        <w:rPr>
          <w:rFonts w:asciiTheme="minorEastAsia" w:hAnsiTheme="minorEastAsia" w:hint="eastAsia"/>
          <w:szCs w:val="21"/>
        </w:rPr>
        <w:t>日起，投资者可以通过</w:t>
      </w:r>
      <w:r>
        <w:rPr>
          <w:rFonts w:ascii="Times New Roman" w:hAnsi="Times New Roman" w:cs="Times New Roman" w:hint="eastAsia"/>
          <w:color w:val="000000" w:themeColor="text1"/>
        </w:rPr>
        <w:t>奕丰基金</w:t>
      </w:r>
      <w:r>
        <w:rPr>
          <w:rFonts w:asciiTheme="minorEastAsia" w:hAnsiTheme="minorEastAsia" w:hint="eastAsia"/>
          <w:szCs w:val="21"/>
        </w:rPr>
        <w:t>办理本公司上述基金的账户开户、申</w:t>
      </w:r>
      <w:r>
        <w:rPr>
          <w:rFonts w:asciiTheme="minorEastAsia" w:hAnsiTheme="minorEastAsia" w:hint="eastAsia"/>
          <w:color w:val="000000" w:themeColor="text1"/>
          <w:szCs w:val="21"/>
        </w:rPr>
        <w:t>购、赎回、转换</w:t>
      </w:r>
      <w:r>
        <w:rPr>
          <w:rFonts w:asciiTheme="minorEastAsia" w:hAnsiTheme="minorEastAsia" w:cs="宋体t.祯畴." w:hint="eastAsia"/>
          <w:color w:val="000000" w:themeColor="text1"/>
        </w:rPr>
        <w:t>、定期定额投资</w:t>
      </w:r>
      <w:r>
        <w:rPr>
          <w:rFonts w:asciiTheme="minorEastAsia" w:hAnsiTheme="minorEastAsia" w:hint="eastAsia"/>
          <w:color w:val="000000" w:themeColor="text1"/>
          <w:szCs w:val="21"/>
        </w:rPr>
        <w:t>等业务。</w:t>
      </w:r>
      <w:r>
        <w:rPr>
          <w:rFonts w:ascii="Times New Roman" w:hAnsi="Times New Roman" w:cs="Times New Roman"/>
          <w:color w:val="000000" w:themeColor="text1"/>
          <w:szCs w:val="21"/>
        </w:rPr>
        <w:t>上银恒享平衡养老目标三年持有期混合型发起式基金中基金（</w:t>
      </w:r>
      <w:r>
        <w:rPr>
          <w:rFonts w:ascii="Times New Roman" w:hAnsi="Times New Roman" w:cs="Times New Roman"/>
          <w:color w:val="000000" w:themeColor="text1"/>
          <w:szCs w:val="21"/>
        </w:rPr>
        <w:t>FOF</w:t>
      </w:r>
      <w:r>
        <w:rPr>
          <w:rFonts w:ascii="Times New Roman" w:hAnsi="Times New Roman" w:cs="Times New Roman"/>
          <w:color w:val="000000" w:themeColor="text1"/>
          <w:szCs w:val="21"/>
        </w:rPr>
        <w:t>）</w:t>
      </w:r>
      <w:r>
        <w:rPr>
          <w:rFonts w:asciiTheme="minorEastAsia" w:hAnsiTheme="minorEastAsia" w:hint="eastAsia"/>
          <w:szCs w:val="21"/>
        </w:rPr>
        <w:t>具体开通申购、赎回、转换及定期定额投资业务的时间将另行公告。具体业务</w:t>
      </w:r>
      <w:r>
        <w:rPr>
          <w:rFonts w:asciiTheme="minorEastAsia" w:hAnsiTheme="minorEastAsia" w:hint="eastAsia"/>
          <w:color w:val="000000" w:themeColor="text1"/>
          <w:szCs w:val="21"/>
        </w:rPr>
        <w:t>办理日期、时间及</w:t>
      </w:r>
      <w:r>
        <w:rPr>
          <w:rFonts w:asciiTheme="minorEastAsia" w:hAnsiTheme="minorEastAsia" w:hint="eastAsia"/>
          <w:szCs w:val="21"/>
        </w:rPr>
        <w:t>办理程序请遵从</w:t>
      </w:r>
      <w:r>
        <w:rPr>
          <w:rFonts w:ascii="Times New Roman" w:hAnsi="Times New Roman" w:cs="Times New Roman" w:hint="eastAsia"/>
          <w:color w:val="000000" w:themeColor="text1"/>
        </w:rPr>
        <w:t>奕丰基金</w:t>
      </w:r>
      <w:r>
        <w:rPr>
          <w:rFonts w:asciiTheme="minorEastAsia" w:hAnsiTheme="minorEastAsia" w:hint="eastAsia"/>
          <w:szCs w:val="21"/>
        </w:rPr>
        <w:t>的相关业务规定。</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二、基金定期定额投资业务</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定期定额投资业务是基金申购业务的一种方式。</w:t>
      </w:r>
      <w:r>
        <w:rPr>
          <w:rFonts w:ascii="Times New Roman" w:hAnsi="Times New Roman" w:cs="Times New Roman"/>
          <w:color w:val="000000"/>
          <w:szCs w:val="21"/>
        </w:rPr>
        <w:t>投资者可在</w:t>
      </w:r>
      <w:r>
        <w:rPr>
          <w:rFonts w:ascii="Times New Roman" w:hAnsi="Times New Roman" w:cs="Times New Roman" w:hint="eastAsia"/>
        </w:rPr>
        <w:t>奕丰基金</w:t>
      </w:r>
      <w:r>
        <w:rPr>
          <w:rFonts w:ascii="Times New Roman" w:hAnsi="Times New Roman" w:cs="Times New Roman"/>
          <w:color w:val="000000"/>
          <w:szCs w:val="21"/>
        </w:rPr>
        <w:t>办理上述基金的定期定额投资业务</w:t>
      </w:r>
      <w:r>
        <w:rPr>
          <w:rFonts w:ascii="Times New Roman" w:hAnsi="Times New Roman" w:cs="Times New Roman"/>
          <w:szCs w:val="21"/>
        </w:rPr>
        <w:t>，具体流程和业务规则请遵循</w:t>
      </w:r>
      <w:r>
        <w:rPr>
          <w:rFonts w:ascii="Times New Roman" w:hAnsi="Times New Roman" w:cs="Times New Roman" w:hint="eastAsia"/>
        </w:rPr>
        <w:t>奕丰基金</w:t>
      </w:r>
      <w:r>
        <w:rPr>
          <w:rFonts w:ascii="Times New Roman" w:hAnsi="Times New Roman" w:cs="Times New Roman"/>
          <w:szCs w:val="21"/>
        </w:rPr>
        <w:t>的相关规定。</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三、基金转换业务</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w:t>
      </w:r>
      <w:r>
        <w:rPr>
          <w:rFonts w:ascii="Times New Roman" w:hAnsi="Times New Roman" w:cs="Times New Roman"/>
          <w:color w:val="000000" w:themeColor="text1"/>
          <w:kern w:val="0"/>
          <w:szCs w:val="21"/>
        </w:rPr>
        <w:t>基金产品资料概要（更新）</w:t>
      </w:r>
      <w:r>
        <w:rPr>
          <w:rFonts w:ascii="Times New Roman" w:hAnsi="Times New Roman" w:cs="Times New Roman"/>
          <w:szCs w:val="21"/>
        </w:rPr>
        <w:t>和公司最新公告中规定</w:t>
      </w:r>
      <w:r>
        <w:rPr>
          <w:rFonts w:ascii="Times New Roman" w:hAnsi="Times New Roman" w:cs="Times New Roman"/>
          <w:szCs w:val="21"/>
        </w:rPr>
        <w:t>的费率执行。</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、除特别声明外</w:t>
      </w:r>
      <w:r>
        <w:rPr>
          <w:rFonts w:ascii="Times New Roman" w:hAnsi="Times New Roman" w:cs="Times New Roman"/>
          <w:szCs w:val="21"/>
        </w:rPr>
        <w:t>,</w:t>
      </w:r>
      <w:r>
        <w:rPr>
          <w:rFonts w:ascii="Times New Roman" w:hAnsi="Times New Roman" w:cs="Times New Roman"/>
          <w:szCs w:val="21"/>
        </w:rPr>
        <w:t>投资者可以通过</w:t>
      </w:r>
      <w:r>
        <w:rPr>
          <w:rFonts w:ascii="Times New Roman" w:hAnsi="Times New Roman" w:cs="Times New Roman" w:hint="eastAsia"/>
          <w:szCs w:val="21"/>
        </w:rPr>
        <w:t>奕丰基金</w:t>
      </w:r>
      <w:r>
        <w:rPr>
          <w:rFonts w:ascii="Times New Roman" w:hAnsi="Times New Roman" w:cs="Times New Roman"/>
          <w:szCs w:val="21"/>
        </w:rPr>
        <w:t>办理上述</w:t>
      </w:r>
      <w:r>
        <w:rPr>
          <w:rFonts w:ascii="Times New Roman" w:hAnsi="Times New Roman" w:cs="Times New Roman" w:hint="eastAsia"/>
          <w:szCs w:val="21"/>
        </w:rPr>
        <w:t>基金之间的基金转换业务（</w:t>
      </w:r>
      <w:r>
        <w:rPr>
          <w:rFonts w:ascii="Times New Roman" w:hAnsi="Times New Roman" w:cs="Times New Roman" w:hint="eastAsia"/>
          <w:szCs w:val="21"/>
        </w:rPr>
        <w:t>FOF</w:t>
      </w:r>
      <w:r>
        <w:rPr>
          <w:rFonts w:ascii="Times New Roman" w:hAnsi="Times New Roman" w:cs="Times New Roman" w:hint="eastAsia"/>
          <w:szCs w:val="21"/>
        </w:rPr>
        <w:t>基金与非</w:t>
      </w:r>
      <w:r>
        <w:rPr>
          <w:rFonts w:ascii="Times New Roman" w:hAnsi="Times New Roman" w:cs="Times New Roman" w:hint="eastAsia"/>
          <w:szCs w:val="21"/>
        </w:rPr>
        <w:t>FOF</w:t>
      </w:r>
      <w:r>
        <w:rPr>
          <w:rFonts w:ascii="Times New Roman" w:hAnsi="Times New Roman" w:cs="Times New Roman" w:hint="eastAsia"/>
          <w:szCs w:val="21"/>
        </w:rPr>
        <w:t>基金之间不能相互转换）</w:t>
      </w:r>
      <w:r>
        <w:rPr>
          <w:rFonts w:ascii="Times New Roman" w:hAnsi="Times New Roman" w:cs="Times New Roman"/>
          <w:szCs w:val="21"/>
        </w:rPr>
        <w:t>。</w:t>
      </w:r>
    </w:p>
    <w:p w:rsidR="00E77EF7" w:rsidRDefault="001A6E7D">
      <w:pPr>
        <w:spacing w:line="360" w:lineRule="auto"/>
        <w:ind w:firstLineChars="200" w:firstLine="420"/>
        <w:rPr>
          <w:rFonts w:asciiTheme="minorEastAsia" w:hAnsiTheme="minorEastAsia" w:cs="Times New Roman"/>
          <w:color w:val="000000" w:themeColor="text1"/>
          <w:szCs w:val="21"/>
        </w:rPr>
      </w:pPr>
      <w:r>
        <w:rPr>
          <w:rFonts w:asciiTheme="minorEastAsia" w:hAnsiTheme="minorEastAsia" w:hint="eastAsia"/>
          <w:szCs w:val="21"/>
        </w:rPr>
        <w:t>四、费</w:t>
      </w:r>
      <w:r>
        <w:rPr>
          <w:rFonts w:asciiTheme="minorEastAsia" w:hAnsiTheme="minorEastAsia" w:cs="Times New Roman" w:hint="eastAsia"/>
          <w:color w:val="000000" w:themeColor="text1"/>
          <w:szCs w:val="21"/>
        </w:rPr>
        <w:t>率优惠活动</w:t>
      </w:r>
    </w:p>
    <w:p w:rsidR="00E77EF7" w:rsidRDefault="001A6E7D">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szCs w:val="21"/>
        </w:rPr>
        <w:t>如</w:t>
      </w:r>
      <w:r>
        <w:rPr>
          <w:rFonts w:ascii="Times New Roman" w:hAnsi="Times New Roman" w:cs="Times New Roman" w:hint="eastAsia"/>
          <w:color w:val="000000" w:themeColor="text1"/>
          <w:szCs w:val="21"/>
        </w:rPr>
        <w:t>奕丰基金</w:t>
      </w:r>
      <w:r>
        <w:rPr>
          <w:rFonts w:ascii="Times New Roman" w:hAnsi="Times New Roman" w:cs="Times New Roman"/>
          <w:color w:val="000000" w:themeColor="text1"/>
          <w:szCs w:val="21"/>
        </w:rPr>
        <w:t>开展费率优</w:t>
      </w:r>
      <w:r>
        <w:rPr>
          <w:rFonts w:ascii="Times New Roman" w:hAnsi="Times New Roman" w:cs="Times New Roman"/>
          <w:szCs w:val="21"/>
        </w:rPr>
        <w:t>惠活动，</w:t>
      </w:r>
      <w:r>
        <w:rPr>
          <w:rFonts w:ascii="Times New Roman" w:hAnsi="Times New Roman" w:cs="Times New Roman" w:hint="eastAsia"/>
          <w:szCs w:val="21"/>
        </w:rPr>
        <w:t>上述基金将自动参加优惠活动</w:t>
      </w:r>
      <w:r>
        <w:rPr>
          <w:rFonts w:ascii="Times New Roman" w:hAnsi="Times New Roman" w:cs="Times New Roman"/>
          <w:szCs w:val="21"/>
        </w:rPr>
        <w:t>，</w:t>
      </w:r>
      <w:r>
        <w:rPr>
          <w:rFonts w:asciiTheme="minorEastAsia" w:hAnsiTheme="minorEastAsia"/>
          <w:szCs w:val="21"/>
        </w:rPr>
        <w:t>具体折扣费率、费率优惠期限、业务办</w:t>
      </w:r>
      <w:r>
        <w:rPr>
          <w:rFonts w:ascii="Times New Roman" w:hAnsi="Times New Roman" w:cs="Times New Roman"/>
          <w:szCs w:val="21"/>
        </w:rPr>
        <w:t>理的流程将以</w:t>
      </w:r>
      <w:r>
        <w:rPr>
          <w:rFonts w:ascii="Times New Roman" w:hAnsi="Times New Roman" w:cs="Times New Roman" w:hint="eastAsia"/>
        </w:rPr>
        <w:t>奕丰基金</w:t>
      </w:r>
      <w:r>
        <w:rPr>
          <w:rFonts w:ascii="Times New Roman" w:hAnsi="Times New Roman" w:cs="Times New Roman"/>
          <w:szCs w:val="21"/>
        </w:rPr>
        <w:t>规定或公示为准。基金原费率请详见基金合同、招募说明书（更新）和基金产品资料概要（更新）等法律文件以及本公司发布的最新业务公告。</w:t>
      </w:r>
    </w:p>
    <w:p w:rsidR="00E77EF7" w:rsidRDefault="001A6E7D">
      <w:pPr>
        <w:spacing w:line="360" w:lineRule="auto"/>
        <w:ind w:leftChars="50" w:left="105" w:firstLineChars="150" w:firstLine="315"/>
        <w:rPr>
          <w:rFonts w:ascii="Times New Roman" w:hAnsi="Times New Roman" w:cs="Times New Roman"/>
          <w:szCs w:val="21"/>
        </w:rPr>
      </w:pPr>
      <w:r>
        <w:rPr>
          <w:rFonts w:ascii="Times New Roman" w:hAnsi="Times New Roman" w:cs="Times New Roman"/>
          <w:szCs w:val="21"/>
        </w:rPr>
        <w:t>费率优惠期限内，如本公司新增通过</w:t>
      </w:r>
      <w:r>
        <w:rPr>
          <w:rFonts w:ascii="Times New Roman" w:hAnsi="Times New Roman" w:cs="Times New Roman" w:hint="eastAsia"/>
        </w:rPr>
        <w:t>奕丰基金</w:t>
      </w:r>
      <w:r>
        <w:rPr>
          <w:rFonts w:ascii="Times New Roman" w:hAnsi="Times New Roman" w:cs="Times New Roman"/>
          <w:szCs w:val="21"/>
        </w:rPr>
        <w:t>代理销售的基金产品，则自</w:t>
      </w:r>
      <w:r>
        <w:rPr>
          <w:rFonts w:ascii="Times New Roman" w:hAnsi="Times New Roman" w:cs="Times New Roman" w:hint="eastAsia"/>
        </w:rPr>
        <w:t>奕丰基金</w:t>
      </w:r>
      <w:r>
        <w:rPr>
          <w:rFonts w:ascii="Times New Roman" w:hAnsi="Times New Roman" w:cs="Times New Roman"/>
          <w:szCs w:val="21"/>
        </w:rPr>
        <w:t>正式销售该基金产品之日起，该基金产品将自动参加上述费率优惠活动。</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五、投资者可通过以下途径咨询有关详情：</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、登录</w:t>
      </w:r>
      <w:r>
        <w:rPr>
          <w:rFonts w:ascii="Times New Roman" w:hAnsi="Times New Roman" w:cs="Times New Roman" w:hint="eastAsia"/>
        </w:rPr>
        <w:t>奕丰基金</w:t>
      </w:r>
      <w:r>
        <w:rPr>
          <w:rFonts w:ascii="Times New Roman" w:hAnsi="Times New Roman" w:cs="Times New Roman"/>
          <w:szCs w:val="21"/>
        </w:rPr>
        <w:t>网站：</w:t>
      </w:r>
      <w:r>
        <w:rPr>
          <w:rFonts w:ascii="Times New Roman" w:hAnsi="Times New Roman" w:cs="Times New Roman" w:hint="eastAsia"/>
          <w:szCs w:val="21"/>
        </w:rPr>
        <w:t>www.ifastps.com.cn</w:t>
      </w:r>
      <w:r>
        <w:rPr>
          <w:rFonts w:ascii="Times New Roman" w:hAnsi="Times New Roman" w:cs="Times New Roman"/>
          <w:szCs w:val="21"/>
        </w:rPr>
        <w:t>；</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、致电</w:t>
      </w:r>
      <w:r>
        <w:rPr>
          <w:rFonts w:ascii="Times New Roman" w:hAnsi="Times New Roman" w:cs="Times New Roman" w:hint="eastAsia"/>
        </w:rPr>
        <w:t>奕丰基金</w:t>
      </w:r>
      <w:r>
        <w:rPr>
          <w:rFonts w:ascii="Times New Roman" w:hAnsi="Times New Roman" w:cs="Times New Roman"/>
          <w:szCs w:val="21"/>
        </w:rPr>
        <w:t>客户服务电话：</w:t>
      </w:r>
      <w:r>
        <w:rPr>
          <w:rFonts w:ascii="Times New Roman" w:hAnsi="Times New Roman" w:cs="Times New Roman" w:hint="eastAsia"/>
          <w:szCs w:val="21"/>
        </w:rPr>
        <w:t>400-684-0500</w:t>
      </w:r>
      <w:r>
        <w:rPr>
          <w:rFonts w:ascii="Times New Roman" w:hAnsi="Times New Roman" w:cs="Times New Roman"/>
          <w:szCs w:val="21"/>
        </w:rPr>
        <w:t>；</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、登录上银基金网站：</w:t>
      </w:r>
      <w:r>
        <w:rPr>
          <w:rFonts w:ascii="Times New Roman" w:hAnsi="Times New Roman" w:cs="Times New Roman"/>
          <w:szCs w:val="21"/>
        </w:rPr>
        <w:t>www.boscam.com.cn</w:t>
      </w:r>
      <w:r>
        <w:rPr>
          <w:rFonts w:ascii="Times New Roman" w:hAnsi="Times New Roman" w:cs="Times New Roman"/>
          <w:szCs w:val="21"/>
        </w:rPr>
        <w:t>；</w:t>
      </w:r>
    </w:p>
    <w:p w:rsidR="00E77EF7" w:rsidRDefault="001A6E7D">
      <w:pPr>
        <w:spacing w:line="360"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、致电上银基金客户服务电话：</w:t>
      </w:r>
      <w:r>
        <w:rPr>
          <w:rFonts w:ascii="Times New Roman" w:hAnsi="Times New Roman" w:cs="Times New Roman"/>
          <w:szCs w:val="21"/>
        </w:rPr>
        <w:t>021-60231999</w:t>
      </w:r>
      <w:r>
        <w:rPr>
          <w:rFonts w:ascii="Times New Roman" w:hAnsi="Times New Roman" w:cs="Times New Roman"/>
          <w:szCs w:val="21"/>
        </w:rPr>
        <w:t>。</w:t>
      </w:r>
      <w:bookmarkStart w:id="0" w:name="_GoBack"/>
      <w:bookmarkEnd w:id="0"/>
    </w:p>
    <w:p w:rsidR="00E77EF7" w:rsidRDefault="00E77EF7">
      <w:pPr>
        <w:spacing w:line="360" w:lineRule="auto"/>
        <w:ind w:firstLineChars="200" w:firstLine="420"/>
        <w:rPr>
          <w:rFonts w:asciiTheme="minorEastAsia" w:hAnsiTheme="minorEastAsia"/>
          <w:szCs w:val="21"/>
        </w:rPr>
      </w:pPr>
    </w:p>
    <w:p w:rsidR="00E77EF7" w:rsidRDefault="001A6E7D">
      <w:pPr>
        <w:spacing w:line="360" w:lineRule="auto"/>
        <w:ind w:firstLineChars="200" w:firstLine="420"/>
        <w:rPr>
          <w:rFonts w:asciiTheme="minorEastAsia" w:hAnsiTheme="minorEastAsia"/>
          <w:szCs w:val="21"/>
        </w:rPr>
      </w:pPr>
      <w:r>
        <w:rPr>
          <w:rFonts w:asciiTheme="minorEastAsia" w:hAnsiTheme="minorEastAsia" w:hint="eastAsia"/>
          <w:szCs w:val="21"/>
        </w:rPr>
        <w:t>风险提示：本基金管理人承诺以诚实信用、勤勉尽责的原则管理和运用基金资产，但不保证基金一定盈利，也不保证最低收益。基金投资有风险，投资者在做出投资决策之前，请认真阅读基</w:t>
      </w:r>
      <w:r>
        <w:rPr>
          <w:rFonts w:asciiTheme="minorEastAsia" w:hAnsiTheme="minorEastAsia" w:hint="eastAsia"/>
          <w:szCs w:val="21"/>
        </w:rPr>
        <w:t>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E77EF7" w:rsidRDefault="001A6E7D">
      <w:pPr>
        <w:spacing w:line="360" w:lineRule="auto"/>
        <w:ind w:firstLineChars="200" w:firstLine="420"/>
        <w:rPr>
          <w:rFonts w:asciiTheme="minorEastAsia" w:hAnsiTheme="minorEastAsia"/>
          <w:szCs w:val="21"/>
        </w:rPr>
      </w:pPr>
      <w:r>
        <w:rPr>
          <w:rFonts w:asciiTheme="minorEastAsia" w:hAnsiTheme="minorEastAsia" w:hint="eastAsia"/>
          <w:szCs w:val="21"/>
        </w:rPr>
        <w:t>特此公告。</w:t>
      </w:r>
    </w:p>
    <w:p w:rsidR="00E77EF7" w:rsidRDefault="00E77EF7">
      <w:pPr>
        <w:spacing w:line="360" w:lineRule="auto"/>
        <w:ind w:firstLineChars="200" w:firstLine="420"/>
        <w:rPr>
          <w:rFonts w:asciiTheme="minorEastAsia" w:hAnsiTheme="minorEastAsia"/>
          <w:szCs w:val="21"/>
        </w:rPr>
      </w:pPr>
    </w:p>
    <w:p w:rsidR="00E77EF7" w:rsidRDefault="001A6E7D">
      <w:pPr>
        <w:spacing w:line="360" w:lineRule="auto"/>
        <w:jc w:val="right"/>
        <w:rPr>
          <w:rFonts w:asciiTheme="minorEastAsia" w:hAnsiTheme="minorEastAsia"/>
          <w:szCs w:val="21"/>
        </w:rPr>
      </w:pPr>
      <w:r>
        <w:rPr>
          <w:rFonts w:asciiTheme="minorEastAsia" w:hAnsiTheme="minorEastAsia" w:hint="eastAsia"/>
          <w:szCs w:val="21"/>
        </w:rPr>
        <w:t>上银基金管理有限公司</w:t>
      </w:r>
    </w:p>
    <w:p w:rsidR="00E77EF7" w:rsidRDefault="001A6E7D">
      <w:pPr>
        <w:wordWrap w:val="0"/>
        <w:spacing w:line="360" w:lineRule="auto"/>
        <w:jc w:val="right"/>
        <w:rPr>
          <w:rFonts w:asciiTheme="minorEastAsia" w:hAnsiTheme="minorEastAsia"/>
          <w:szCs w:val="21"/>
        </w:rPr>
      </w:pPr>
      <w:r>
        <w:rPr>
          <w:rFonts w:ascii="Times New Roman" w:hAnsi="Times New Roman" w:cs="Times New Roman" w:hint="eastAsia"/>
          <w:szCs w:val="21"/>
        </w:rPr>
        <w:t>二〇二二</w:t>
      </w:r>
      <w:r>
        <w:rPr>
          <w:rFonts w:asciiTheme="minorEastAsia" w:hAnsiTheme="minorEastAsia" w:hint="eastAsia"/>
          <w:szCs w:val="21"/>
        </w:rPr>
        <w:t>年</w:t>
      </w:r>
      <w:r>
        <w:rPr>
          <w:rFonts w:ascii="Times New Roman" w:hAnsi="Times New Roman" w:cs="Times New Roman" w:hint="eastAsia"/>
          <w:szCs w:val="21"/>
        </w:rPr>
        <w:t>七</w:t>
      </w:r>
      <w:r>
        <w:rPr>
          <w:rFonts w:asciiTheme="minorEastAsia" w:hAnsiTheme="minorEastAsia" w:hint="eastAsia"/>
          <w:szCs w:val="21"/>
        </w:rPr>
        <w:t>月</w:t>
      </w:r>
      <w:r>
        <w:rPr>
          <w:rFonts w:asciiTheme="minorEastAsia" w:hAnsiTheme="minorEastAsia" w:hint="eastAsia"/>
          <w:szCs w:val="21"/>
        </w:rPr>
        <w:t>二十九</w:t>
      </w:r>
      <w:r>
        <w:rPr>
          <w:rFonts w:asciiTheme="minorEastAsia" w:hAnsiTheme="minorEastAsia" w:hint="eastAsia"/>
          <w:szCs w:val="21"/>
        </w:rPr>
        <w:t>日</w:t>
      </w:r>
    </w:p>
    <w:sectPr w:rsidR="00E77EF7" w:rsidSect="00E77E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t.祯畴.">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7198"/>
    <w:rsid w:val="00023617"/>
    <w:rsid w:val="00023E0D"/>
    <w:rsid w:val="000258A4"/>
    <w:rsid w:val="00032B70"/>
    <w:rsid w:val="00034A42"/>
    <w:rsid w:val="000361E4"/>
    <w:rsid w:val="0003693A"/>
    <w:rsid w:val="000525E3"/>
    <w:rsid w:val="00057B69"/>
    <w:rsid w:val="00076DC9"/>
    <w:rsid w:val="00081E38"/>
    <w:rsid w:val="00084169"/>
    <w:rsid w:val="00090C70"/>
    <w:rsid w:val="000954DE"/>
    <w:rsid w:val="000A307C"/>
    <w:rsid w:val="000A3096"/>
    <w:rsid w:val="000A5EAC"/>
    <w:rsid w:val="000C3DAE"/>
    <w:rsid w:val="000C4BAE"/>
    <w:rsid w:val="000D0C06"/>
    <w:rsid w:val="000D4576"/>
    <w:rsid w:val="000E57BE"/>
    <w:rsid w:val="000F3311"/>
    <w:rsid w:val="000F3C2D"/>
    <w:rsid w:val="000F66B6"/>
    <w:rsid w:val="001025A4"/>
    <w:rsid w:val="001212CB"/>
    <w:rsid w:val="00125094"/>
    <w:rsid w:val="0012684F"/>
    <w:rsid w:val="00132A6B"/>
    <w:rsid w:val="00143B76"/>
    <w:rsid w:val="00151782"/>
    <w:rsid w:val="001551C0"/>
    <w:rsid w:val="00161BAB"/>
    <w:rsid w:val="001656F9"/>
    <w:rsid w:val="00166AA5"/>
    <w:rsid w:val="001711FB"/>
    <w:rsid w:val="0017602F"/>
    <w:rsid w:val="001813A3"/>
    <w:rsid w:val="001900E2"/>
    <w:rsid w:val="0019087C"/>
    <w:rsid w:val="0019485B"/>
    <w:rsid w:val="00195602"/>
    <w:rsid w:val="001A128F"/>
    <w:rsid w:val="001A391A"/>
    <w:rsid w:val="001A6E7D"/>
    <w:rsid w:val="001B102C"/>
    <w:rsid w:val="001B1E8B"/>
    <w:rsid w:val="001B636D"/>
    <w:rsid w:val="001B6662"/>
    <w:rsid w:val="001B7B60"/>
    <w:rsid w:val="001C08F3"/>
    <w:rsid w:val="001D0D5C"/>
    <w:rsid w:val="001D2D4A"/>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52B7F"/>
    <w:rsid w:val="00264F71"/>
    <w:rsid w:val="00266923"/>
    <w:rsid w:val="0029464F"/>
    <w:rsid w:val="00296A58"/>
    <w:rsid w:val="002B0146"/>
    <w:rsid w:val="002C193D"/>
    <w:rsid w:val="002C1E0D"/>
    <w:rsid w:val="002C7BA9"/>
    <w:rsid w:val="002D065C"/>
    <w:rsid w:val="002D594B"/>
    <w:rsid w:val="002D7034"/>
    <w:rsid w:val="002E3D76"/>
    <w:rsid w:val="002E61D1"/>
    <w:rsid w:val="002F0170"/>
    <w:rsid w:val="00303416"/>
    <w:rsid w:val="00313A21"/>
    <w:rsid w:val="00316CB8"/>
    <w:rsid w:val="00327137"/>
    <w:rsid w:val="00327F64"/>
    <w:rsid w:val="00331192"/>
    <w:rsid w:val="0033496E"/>
    <w:rsid w:val="00340B0A"/>
    <w:rsid w:val="003459AA"/>
    <w:rsid w:val="0035289C"/>
    <w:rsid w:val="00363422"/>
    <w:rsid w:val="0036434E"/>
    <w:rsid w:val="00371519"/>
    <w:rsid w:val="00374204"/>
    <w:rsid w:val="00377FFD"/>
    <w:rsid w:val="003918C6"/>
    <w:rsid w:val="00392A0B"/>
    <w:rsid w:val="003936C8"/>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070A"/>
    <w:rsid w:val="00491036"/>
    <w:rsid w:val="00494337"/>
    <w:rsid w:val="00495456"/>
    <w:rsid w:val="004A29E1"/>
    <w:rsid w:val="004A40FD"/>
    <w:rsid w:val="004A4E06"/>
    <w:rsid w:val="004A6472"/>
    <w:rsid w:val="004B18B1"/>
    <w:rsid w:val="004C0691"/>
    <w:rsid w:val="004C1833"/>
    <w:rsid w:val="004C2DCC"/>
    <w:rsid w:val="004C6F26"/>
    <w:rsid w:val="004D3362"/>
    <w:rsid w:val="004D57BD"/>
    <w:rsid w:val="004E679A"/>
    <w:rsid w:val="004F090F"/>
    <w:rsid w:val="004F5B8D"/>
    <w:rsid w:val="004F75C8"/>
    <w:rsid w:val="00500A77"/>
    <w:rsid w:val="00501DFE"/>
    <w:rsid w:val="00512D09"/>
    <w:rsid w:val="00534EC0"/>
    <w:rsid w:val="00536F6F"/>
    <w:rsid w:val="00547923"/>
    <w:rsid w:val="005507EF"/>
    <w:rsid w:val="00553F11"/>
    <w:rsid w:val="00565892"/>
    <w:rsid w:val="00585099"/>
    <w:rsid w:val="0059180D"/>
    <w:rsid w:val="00592F25"/>
    <w:rsid w:val="00596A9F"/>
    <w:rsid w:val="005A76DB"/>
    <w:rsid w:val="005B0B0A"/>
    <w:rsid w:val="005B31B0"/>
    <w:rsid w:val="005B710C"/>
    <w:rsid w:val="005C0F9A"/>
    <w:rsid w:val="005C6CD5"/>
    <w:rsid w:val="005C796D"/>
    <w:rsid w:val="005D0100"/>
    <w:rsid w:val="005E0DC5"/>
    <w:rsid w:val="005E23DC"/>
    <w:rsid w:val="005E3B6F"/>
    <w:rsid w:val="005E6299"/>
    <w:rsid w:val="005E62B1"/>
    <w:rsid w:val="005E7B0E"/>
    <w:rsid w:val="005F2D49"/>
    <w:rsid w:val="005F5C2C"/>
    <w:rsid w:val="005F636B"/>
    <w:rsid w:val="00600562"/>
    <w:rsid w:val="00600B6D"/>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B4BE5"/>
    <w:rsid w:val="006C312C"/>
    <w:rsid w:val="006C5063"/>
    <w:rsid w:val="006C750C"/>
    <w:rsid w:val="006D139D"/>
    <w:rsid w:val="006D7781"/>
    <w:rsid w:val="006E6FF6"/>
    <w:rsid w:val="006E73A7"/>
    <w:rsid w:val="006F4D5C"/>
    <w:rsid w:val="006F7D12"/>
    <w:rsid w:val="00704C8A"/>
    <w:rsid w:val="00705A6A"/>
    <w:rsid w:val="007115C8"/>
    <w:rsid w:val="00715AF8"/>
    <w:rsid w:val="00722035"/>
    <w:rsid w:val="00726112"/>
    <w:rsid w:val="00732913"/>
    <w:rsid w:val="00733AAF"/>
    <w:rsid w:val="00741404"/>
    <w:rsid w:val="00744594"/>
    <w:rsid w:val="0075561C"/>
    <w:rsid w:val="00765CCC"/>
    <w:rsid w:val="00766CC0"/>
    <w:rsid w:val="0077534E"/>
    <w:rsid w:val="00782D77"/>
    <w:rsid w:val="007860C7"/>
    <w:rsid w:val="00787183"/>
    <w:rsid w:val="00793730"/>
    <w:rsid w:val="007A00F8"/>
    <w:rsid w:val="007A31E6"/>
    <w:rsid w:val="007A32C1"/>
    <w:rsid w:val="007A6927"/>
    <w:rsid w:val="007A7763"/>
    <w:rsid w:val="007B1D42"/>
    <w:rsid w:val="007B2EF2"/>
    <w:rsid w:val="007B5646"/>
    <w:rsid w:val="007B627D"/>
    <w:rsid w:val="007C20E7"/>
    <w:rsid w:val="007D287C"/>
    <w:rsid w:val="007D5C7B"/>
    <w:rsid w:val="007E5064"/>
    <w:rsid w:val="007E555B"/>
    <w:rsid w:val="007E764A"/>
    <w:rsid w:val="007F7045"/>
    <w:rsid w:val="00821968"/>
    <w:rsid w:val="00821F4B"/>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356A"/>
    <w:rsid w:val="00985179"/>
    <w:rsid w:val="009863A4"/>
    <w:rsid w:val="00992A35"/>
    <w:rsid w:val="00993B5A"/>
    <w:rsid w:val="009970B7"/>
    <w:rsid w:val="009A025D"/>
    <w:rsid w:val="009A4326"/>
    <w:rsid w:val="009A6767"/>
    <w:rsid w:val="009B121A"/>
    <w:rsid w:val="009D1C2B"/>
    <w:rsid w:val="009D1D14"/>
    <w:rsid w:val="009D7B6D"/>
    <w:rsid w:val="00A011D8"/>
    <w:rsid w:val="00A06AF9"/>
    <w:rsid w:val="00A241E4"/>
    <w:rsid w:val="00A27481"/>
    <w:rsid w:val="00A31A1A"/>
    <w:rsid w:val="00A33395"/>
    <w:rsid w:val="00A3417E"/>
    <w:rsid w:val="00A40DFE"/>
    <w:rsid w:val="00A45473"/>
    <w:rsid w:val="00A47047"/>
    <w:rsid w:val="00A476C7"/>
    <w:rsid w:val="00A7603D"/>
    <w:rsid w:val="00A76D7A"/>
    <w:rsid w:val="00A818CE"/>
    <w:rsid w:val="00A82D1D"/>
    <w:rsid w:val="00A84B52"/>
    <w:rsid w:val="00A87C57"/>
    <w:rsid w:val="00A912ED"/>
    <w:rsid w:val="00A96448"/>
    <w:rsid w:val="00A96C0D"/>
    <w:rsid w:val="00AA4401"/>
    <w:rsid w:val="00AA4689"/>
    <w:rsid w:val="00AA7076"/>
    <w:rsid w:val="00AA7655"/>
    <w:rsid w:val="00AB23A9"/>
    <w:rsid w:val="00AB64AA"/>
    <w:rsid w:val="00AC1B07"/>
    <w:rsid w:val="00AC5C4A"/>
    <w:rsid w:val="00AE0E3C"/>
    <w:rsid w:val="00AF3261"/>
    <w:rsid w:val="00AF5923"/>
    <w:rsid w:val="00B05D49"/>
    <w:rsid w:val="00B10328"/>
    <w:rsid w:val="00B15053"/>
    <w:rsid w:val="00B168F9"/>
    <w:rsid w:val="00B2081F"/>
    <w:rsid w:val="00B20F15"/>
    <w:rsid w:val="00B26ACC"/>
    <w:rsid w:val="00B40395"/>
    <w:rsid w:val="00B51607"/>
    <w:rsid w:val="00B52D36"/>
    <w:rsid w:val="00B5483A"/>
    <w:rsid w:val="00B558A6"/>
    <w:rsid w:val="00B80F92"/>
    <w:rsid w:val="00B81590"/>
    <w:rsid w:val="00B926F4"/>
    <w:rsid w:val="00B92BF9"/>
    <w:rsid w:val="00BD0455"/>
    <w:rsid w:val="00BD0D60"/>
    <w:rsid w:val="00BD5134"/>
    <w:rsid w:val="00BD7BFF"/>
    <w:rsid w:val="00BE38F3"/>
    <w:rsid w:val="00BF001F"/>
    <w:rsid w:val="00C02B83"/>
    <w:rsid w:val="00C02DD3"/>
    <w:rsid w:val="00C05BA5"/>
    <w:rsid w:val="00C11BE8"/>
    <w:rsid w:val="00C15701"/>
    <w:rsid w:val="00C236C6"/>
    <w:rsid w:val="00C24314"/>
    <w:rsid w:val="00C255D3"/>
    <w:rsid w:val="00C26457"/>
    <w:rsid w:val="00C274CC"/>
    <w:rsid w:val="00C30E8B"/>
    <w:rsid w:val="00C31B21"/>
    <w:rsid w:val="00C336C6"/>
    <w:rsid w:val="00C4460C"/>
    <w:rsid w:val="00C46188"/>
    <w:rsid w:val="00C46244"/>
    <w:rsid w:val="00C51878"/>
    <w:rsid w:val="00C6384A"/>
    <w:rsid w:val="00C675A7"/>
    <w:rsid w:val="00C7107E"/>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15911"/>
    <w:rsid w:val="00D236C5"/>
    <w:rsid w:val="00D23F8C"/>
    <w:rsid w:val="00D25EE9"/>
    <w:rsid w:val="00D275BA"/>
    <w:rsid w:val="00D33118"/>
    <w:rsid w:val="00D331B2"/>
    <w:rsid w:val="00D33CD4"/>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45CC"/>
    <w:rsid w:val="00DD72AA"/>
    <w:rsid w:val="00DD730F"/>
    <w:rsid w:val="00DE6F92"/>
    <w:rsid w:val="00DF1FB6"/>
    <w:rsid w:val="00DF31D6"/>
    <w:rsid w:val="00DF39C7"/>
    <w:rsid w:val="00E00829"/>
    <w:rsid w:val="00E04FE9"/>
    <w:rsid w:val="00E0645C"/>
    <w:rsid w:val="00E166E1"/>
    <w:rsid w:val="00E26999"/>
    <w:rsid w:val="00E370E4"/>
    <w:rsid w:val="00E453A4"/>
    <w:rsid w:val="00E4669B"/>
    <w:rsid w:val="00E77EF7"/>
    <w:rsid w:val="00E9131C"/>
    <w:rsid w:val="00E94C92"/>
    <w:rsid w:val="00EA0BED"/>
    <w:rsid w:val="00EB1709"/>
    <w:rsid w:val="00EB68BA"/>
    <w:rsid w:val="00EB6D98"/>
    <w:rsid w:val="00ED260A"/>
    <w:rsid w:val="00EF1AF0"/>
    <w:rsid w:val="00EF2CEF"/>
    <w:rsid w:val="00EF37FE"/>
    <w:rsid w:val="00EF509D"/>
    <w:rsid w:val="00EF5F7B"/>
    <w:rsid w:val="00F05F45"/>
    <w:rsid w:val="00F07E16"/>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14D2"/>
    <w:rsid w:val="00FD6B89"/>
    <w:rsid w:val="00FD6C5A"/>
    <w:rsid w:val="00FE0D74"/>
    <w:rsid w:val="00FF6D67"/>
    <w:rsid w:val="00FF7FD9"/>
    <w:rsid w:val="54C7258F"/>
    <w:rsid w:val="599C25F9"/>
    <w:rsid w:val="6732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77EF7"/>
    <w:pPr>
      <w:jc w:val="left"/>
    </w:pPr>
  </w:style>
  <w:style w:type="paragraph" w:styleId="a4">
    <w:name w:val="Balloon Text"/>
    <w:basedOn w:val="a"/>
    <w:link w:val="Char0"/>
    <w:uiPriority w:val="99"/>
    <w:semiHidden/>
    <w:unhideWhenUsed/>
    <w:qFormat/>
    <w:rsid w:val="00E77EF7"/>
    <w:rPr>
      <w:sz w:val="18"/>
      <w:szCs w:val="18"/>
    </w:rPr>
  </w:style>
  <w:style w:type="paragraph" w:styleId="a5">
    <w:name w:val="footer"/>
    <w:basedOn w:val="a"/>
    <w:link w:val="Char1"/>
    <w:uiPriority w:val="99"/>
    <w:unhideWhenUsed/>
    <w:qFormat/>
    <w:rsid w:val="00E77EF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77EF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E77E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rsid w:val="00E77EF7"/>
    <w:rPr>
      <w:b/>
      <w:bCs/>
    </w:rPr>
  </w:style>
  <w:style w:type="table" w:styleId="a8">
    <w:name w:val="Table Grid"/>
    <w:basedOn w:val="a1"/>
    <w:uiPriority w:val="59"/>
    <w:unhideWhenUsed/>
    <w:qFormat/>
    <w:rsid w:val="00E7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77EF7"/>
    <w:rPr>
      <w:color w:val="0000FF" w:themeColor="hyperlink"/>
      <w:u w:val="single"/>
    </w:rPr>
  </w:style>
  <w:style w:type="character" w:styleId="aa">
    <w:name w:val="annotation reference"/>
    <w:basedOn w:val="a0"/>
    <w:uiPriority w:val="99"/>
    <w:semiHidden/>
    <w:unhideWhenUsed/>
    <w:rsid w:val="00E77EF7"/>
    <w:rPr>
      <w:sz w:val="21"/>
      <w:szCs w:val="21"/>
    </w:rPr>
  </w:style>
  <w:style w:type="character" w:customStyle="1" w:styleId="Char2">
    <w:name w:val="页眉 Char"/>
    <w:basedOn w:val="a0"/>
    <w:link w:val="a6"/>
    <w:uiPriority w:val="99"/>
    <w:qFormat/>
    <w:rsid w:val="00E77EF7"/>
    <w:rPr>
      <w:sz w:val="18"/>
      <w:szCs w:val="18"/>
    </w:rPr>
  </w:style>
  <w:style w:type="character" w:customStyle="1" w:styleId="Char1">
    <w:name w:val="页脚 Char"/>
    <w:basedOn w:val="a0"/>
    <w:link w:val="a5"/>
    <w:uiPriority w:val="99"/>
    <w:qFormat/>
    <w:rsid w:val="00E77EF7"/>
    <w:rPr>
      <w:sz w:val="18"/>
      <w:szCs w:val="18"/>
    </w:rPr>
  </w:style>
  <w:style w:type="character" w:customStyle="1" w:styleId="HTMLChar">
    <w:name w:val="HTML 预设格式 Char"/>
    <w:basedOn w:val="a0"/>
    <w:link w:val="HTML"/>
    <w:uiPriority w:val="99"/>
    <w:semiHidden/>
    <w:qFormat/>
    <w:rsid w:val="00E77EF7"/>
    <w:rPr>
      <w:rFonts w:ascii="宋体" w:eastAsia="宋体" w:hAnsi="宋体" w:cs="宋体"/>
      <w:kern w:val="0"/>
      <w:sz w:val="24"/>
      <w:szCs w:val="24"/>
    </w:rPr>
  </w:style>
  <w:style w:type="character" w:customStyle="1" w:styleId="Char0">
    <w:name w:val="批注框文本 Char"/>
    <w:basedOn w:val="a0"/>
    <w:link w:val="a4"/>
    <w:uiPriority w:val="99"/>
    <w:semiHidden/>
    <w:qFormat/>
    <w:rsid w:val="00E77EF7"/>
    <w:rPr>
      <w:sz w:val="18"/>
      <w:szCs w:val="18"/>
    </w:rPr>
  </w:style>
  <w:style w:type="character" w:customStyle="1" w:styleId="Char">
    <w:name w:val="批注文字 Char"/>
    <w:basedOn w:val="a0"/>
    <w:link w:val="a3"/>
    <w:uiPriority w:val="99"/>
    <w:semiHidden/>
    <w:qFormat/>
    <w:rsid w:val="00E77EF7"/>
  </w:style>
  <w:style w:type="character" w:customStyle="1" w:styleId="Char3">
    <w:name w:val="批注主题 Char"/>
    <w:basedOn w:val="Char"/>
    <w:link w:val="a7"/>
    <w:uiPriority w:val="99"/>
    <w:semiHidden/>
    <w:rsid w:val="00E77EF7"/>
    <w:rPr>
      <w:b/>
      <w:bCs/>
    </w:rPr>
  </w:style>
  <w:style w:type="paragraph" w:customStyle="1" w:styleId="1">
    <w:name w:val="修订1"/>
    <w:hidden/>
    <w:uiPriority w:val="99"/>
    <w:semiHidden/>
    <w:qFormat/>
    <w:rsid w:val="00E77EF7"/>
    <w:rPr>
      <w:rFonts w:asciiTheme="minorHAnsi" w:eastAsiaTheme="minorEastAsia" w:hAnsiTheme="minorHAnsi" w:cstheme="minorBidi"/>
      <w:kern w:val="2"/>
      <w:sz w:val="21"/>
      <w:szCs w:val="22"/>
    </w:rPr>
  </w:style>
  <w:style w:type="paragraph" w:customStyle="1" w:styleId="Default">
    <w:name w:val="Default"/>
    <w:qFormat/>
    <w:rsid w:val="00E77EF7"/>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E77EF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4</DocSecurity>
  <Lines>21</Lines>
  <Paragraphs>6</Paragraphs>
  <ScaleCrop>false</ScaleCrop>
  <Company>CNSTOCK</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2022-07-28T16:01:00Z</dcterms:created>
  <dcterms:modified xsi:type="dcterms:W3CDTF">2022-07-28T16:01:00Z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E4FEECC2F95842569DF7B90E63D51D14</vt:lpwstr>
  </property>
</Properties>
</file>