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1ED" w:rsidRDefault="000D3B77">
      <w:pPr>
        <w:spacing w:line="360" w:lineRule="auto"/>
        <w:jc w:val="center"/>
        <w:rPr>
          <w:rFonts w:asciiTheme="minorEastAsia" w:hAnsiTheme="minorEastAsia"/>
          <w:b/>
          <w:sz w:val="32"/>
          <w:szCs w:val="32"/>
        </w:rPr>
      </w:pPr>
      <w:bookmarkStart w:id="0" w:name="_GoBack"/>
      <w:bookmarkEnd w:id="0"/>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泰信财富基金销售有限公司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F431ED" w:rsidRDefault="00F431ED">
      <w:pPr>
        <w:spacing w:line="360" w:lineRule="auto"/>
        <w:ind w:rightChars="200" w:right="420"/>
        <w:jc w:val="center"/>
        <w:rPr>
          <w:b/>
          <w:sz w:val="32"/>
          <w:szCs w:val="32"/>
        </w:rPr>
      </w:pP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Theme="minorEastAsia" w:hAnsiTheme="minorEastAsia" w:cs="Times New Roman" w:hint="eastAsia"/>
          <w:sz w:val="24"/>
          <w:szCs w:val="24"/>
        </w:rPr>
        <w:t>泰信财富基金销售有限公司</w:t>
      </w:r>
      <w:r>
        <w:rPr>
          <w:rFonts w:asciiTheme="minorEastAsia" w:hAnsiTheme="minorEastAsia" w:cs="Times New Roman" w:hint="eastAsia"/>
          <w:sz w:val="24"/>
          <w:szCs w:val="24"/>
        </w:rPr>
        <w:t>（以下简称“</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7</w:t>
      </w:r>
      <w:r>
        <w:rPr>
          <w:rFonts w:asciiTheme="minorEastAsia" w:hAnsiTheme="minorEastAsia" w:cs="Times New Roman" w:hint="eastAsia"/>
          <w:sz w:val="24"/>
          <w:szCs w:val="24"/>
        </w:rPr>
        <w:t>月</w:t>
      </w:r>
      <w:r>
        <w:rPr>
          <w:rFonts w:asciiTheme="minorEastAsia" w:hAnsiTheme="minorEastAsia" w:cs="Times New Roman" w:hint="eastAsia"/>
          <w:sz w:val="24"/>
          <w:szCs w:val="24"/>
        </w:rPr>
        <w:t>29</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F431ED" w:rsidRDefault="000D3B77">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中信建投中证</w:t>
            </w:r>
            <w:r>
              <w:rPr>
                <w:rFonts w:asciiTheme="minorEastAsia" w:hAnsiTheme="minorEastAsia" w:hint="eastAsia"/>
                <w:sz w:val="24"/>
                <w:szCs w:val="24"/>
              </w:rPr>
              <w:t>500</w:t>
            </w:r>
            <w:r>
              <w:rPr>
                <w:rFonts w:asciiTheme="minorEastAsia" w:hAnsiTheme="minorEastAsia" w:hint="eastAsia"/>
                <w:sz w:val="24"/>
                <w:szCs w:val="24"/>
              </w:rPr>
              <w:t>指数增强型证券投资基金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006440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006441</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中信建投策略精选混合型证券投资基金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007468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007469</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中信建投行业轮换混合型证券投资基金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003822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003823</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中信建投智信物联网灵活配置混合型证券投资基金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001809,C</w:t>
            </w:r>
            <w:r>
              <w:rPr>
                <w:rFonts w:asciiTheme="minorEastAsia" w:hAnsiTheme="minorEastAsia" w:hint="eastAsia"/>
                <w:sz w:val="24"/>
                <w:szCs w:val="24"/>
              </w:rPr>
              <w:t>类</w:t>
            </w:r>
            <w:r>
              <w:rPr>
                <w:rFonts w:asciiTheme="minorEastAsia" w:hAnsiTheme="minorEastAsia" w:hint="eastAsia"/>
                <w:sz w:val="24"/>
                <w:szCs w:val="24"/>
              </w:rPr>
              <w:t>004636</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中信建投聚利混合型证券投资基金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001914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006845</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中信建投医改灵活配置混合型证券投资基金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002408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007553</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中信建投医药健康混合型证券投资基金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010090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010091</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中信建投智享生活混合型证券投资基金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010282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010283</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中信建投远见回报混合型证券投资基金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011868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011869</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中信建投价值甄选混合型证券投资基金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008348</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中信建投量化精选</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012878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012879</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中信建投量化进取</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011410,C</w:t>
            </w:r>
            <w:r>
              <w:rPr>
                <w:rFonts w:asciiTheme="minorEastAsia" w:hAnsiTheme="minorEastAsia" w:hint="eastAsia"/>
                <w:sz w:val="24"/>
                <w:szCs w:val="24"/>
              </w:rPr>
              <w:t>类</w:t>
            </w:r>
            <w:r>
              <w:rPr>
                <w:rFonts w:asciiTheme="minorEastAsia" w:hAnsiTheme="minorEastAsia" w:hint="eastAsia"/>
                <w:sz w:val="24"/>
                <w:szCs w:val="24"/>
              </w:rPr>
              <w:t>011411</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中信建投稳利混合型证券投资基金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000804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006844</w:t>
            </w:r>
          </w:p>
        </w:tc>
      </w:tr>
      <w:tr w:rsidR="00F431ED">
        <w:tc>
          <w:tcPr>
            <w:tcW w:w="562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中信建投睿溢混合型证券投资基金</w:t>
            </w:r>
          </w:p>
        </w:tc>
        <w:tc>
          <w:tcPr>
            <w:tcW w:w="2880" w:type="dxa"/>
            <w:vAlign w:val="center"/>
          </w:tcPr>
          <w:p w:rsidR="00F431ED" w:rsidRDefault="000D3B77">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002640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006843</w:t>
            </w:r>
          </w:p>
        </w:tc>
      </w:tr>
    </w:tbl>
    <w:p w:rsidR="00F431ED" w:rsidRDefault="00F431ED">
      <w:pPr>
        <w:spacing w:line="360" w:lineRule="auto"/>
        <w:rPr>
          <w:rFonts w:asciiTheme="minorEastAsia" w:hAnsiTheme="minorEastAsia" w:cs="Times New Roman"/>
          <w:sz w:val="24"/>
          <w:szCs w:val="24"/>
        </w:rPr>
      </w:pPr>
    </w:p>
    <w:p w:rsidR="00F431ED" w:rsidRDefault="00F431ED">
      <w:pPr>
        <w:spacing w:line="360" w:lineRule="auto"/>
        <w:rPr>
          <w:rFonts w:asciiTheme="minorEastAsia" w:hAnsiTheme="minorEastAsia" w:cs="Times New Roman"/>
          <w:sz w:val="24"/>
          <w:szCs w:val="24"/>
        </w:rPr>
      </w:pP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二、基金开户、申购、赎回等业务</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29</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的规定为准。</w:t>
      </w:r>
    </w:p>
    <w:p w:rsidR="00F431ED" w:rsidRDefault="000D3B77">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F431ED" w:rsidRDefault="000D3B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sz w:val="24"/>
          <w:szCs w:val="24"/>
        </w:rPr>
        <w:t>2</w:t>
      </w:r>
      <w:r>
        <w:rPr>
          <w:rFonts w:asciiTheme="minorEastAsia" w:hAnsiTheme="minorEastAsia" w:hint="eastAsia"/>
          <w:sz w:val="24"/>
          <w:szCs w:val="24"/>
        </w:rPr>
        <w:t>年</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29</w:t>
      </w:r>
      <w:r>
        <w:rPr>
          <w:rFonts w:asciiTheme="minorEastAsia" w:hAnsiTheme="minorEastAsia" w:hint="eastAsia"/>
          <w:sz w:val="24"/>
          <w:szCs w:val="24"/>
        </w:rPr>
        <w:t>日起，投资者通过</w:t>
      </w:r>
      <w:r>
        <w:rPr>
          <w:rFonts w:asciiTheme="minorEastAsia" w:hAnsiTheme="minorEastAsia" w:cs="Times New Roman" w:hint="eastAsia"/>
          <w:sz w:val="24"/>
          <w:szCs w:val="24"/>
        </w:rPr>
        <w:t>泰信财富</w:t>
      </w:r>
      <w:r>
        <w:rPr>
          <w:rFonts w:asciiTheme="minorEastAsia" w:hAnsiTheme="minorEastAsia" w:hint="eastAsia"/>
          <w:sz w:val="24"/>
          <w:szCs w:val="24"/>
        </w:rPr>
        <w:t>申购上述基金，首次最低申购金额为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w:t>
      </w: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F431ED" w:rsidRDefault="000D3B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泰信财富</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泰信财富</w:t>
      </w:r>
      <w:r>
        <w:rPr>
          <w:rFonts w:asciiTheme="minorEastAsia" w:hAnsiTheme="minorEastAsia" w:hint="eastAsia"/>
          <w:sz w:val="24"/>
          <w:szCs w:val="24"/>
        </w:rPr>
        <w:t>于约定扣款日在投资者指定资金账户内自动完成扣款及基金申购业务。投资者在办理相关基金定</w:t>
      </w:r>
      <w:r>
        <w:rPr>
          <w:rFonts w:asciiTheme="minorEastAsia" w:hAnsiTheme="minorEastAsia" w:hint="eastAsia"/>
          <w:sz w:val="24"/>
          <w:szCs w:val="24"/>
        </w:rPr>
        <w:t>期定额投资业务的同时，仍然可以进行日常申购、赎回业务。</w:t>
      </w:r>
    </w:p>
    <w:p w:rsidR="00F431ED" w:rsidRDefault="000D3B77">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F431ED" w:rsidRDefault="000D3B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F431ED" w:rsidRDefault="000D3B77">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F431ED" w:rsidRDefault="000D3B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7</w:t>
      </w:r>
      <w:r>
        <w:rPr>
          <w:rFonts w:asciiTheme="minorEastAsia" w:hAnsiTheme="minorEastAsia"/>
          <w:sz w:val="24"/>
          <w:szCs w:val="24"/>
        </w:rPr>
        <w:t>月</w:t>
      </w:r>
      <w:r>
        <w:rPr>
          <w:rFonts w:asciiTheme="minorEastAsia" w:hAnsiTheme="minorEastAsia" w:hint="eastAsia"/>
          <w:sz w:val="24"/>
          <w:szCs w:val="24"/>
        </w:rPr>
        <w:t>29</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办理上述基金定期定额投资业务申请。</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规定的办理方式申请办理此项业务。</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定期定额投资业务申请办理时间，为开放式基金法定开放日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投资者应与</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sz w:val="24"/>
          <w:szCs w:val="24"/>
        </w:rPr>
        <w:t>0</w:t>
      </w:r>
      <w:r>
        <w:rPr>
          <w:rFonts w:asciiTheme="minorEastAsia" w:hAnsiTheme="minorEastAsia" w:cs="Times New Roman" w:hint="eastAsia"/>
          <w:sz w:val="24"/>
          <w:szCs w:val="24"/>
        </w:rPr>
        <w:t>元）。</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w:t>
      </w:r>
      <w:r>
        <w:rPr>
          <w:rFonts w:asciiTheme="minorEastAsia" w:hAnsiTheme="minorEastAsia" w:cs="Times New Roman" w:hint="eastAsia"/>
          <w:sz w:val="24"/>
          <w:szCs w:val="24"/>
        </w:rPr>
        <w:t>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查询相应基金的申购确认情况。</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规定的办理方式申请办理业务变更手续；</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规定的办理方式申请办理业务终止手续；</w:t>
      </w:r>
    </w:p>
    <w:p w:rsidR="00F431ED" w:rsidRDefault="000D3B7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的有关规定。</w:t>
      </w:r>
    </w:p>
    <w:p w:rsidR="00F431ED" w:rsidRDefault="000D3B77">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泰信财富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hint="eastAsia"/>
          <w:sz w:val="24"/>
          <w:szCs w:val="24"/>
        </w:rPr>
        <w:t>上述基金</w:t>
      </w:r>
      <w:r>
        <w:rPr>
          <w:rFonts w:asciiTheme="minorEastAsia" w:hAnsiTheme="minorEastAsia" w:cs="Times New Roman" w:hint="eastAsia"/>
          <w:sz w:val="24"/>
          <w:szCs w:val="24"/>
        </w:rPr>
        <w:t>（除</w:t>
      </w:r>
      <w:r>
        <w:rPr>
          <w:rFonts w:asciiTheme="minorEastAsia" w:hAnsiTheme="minorEastAsia" w:hint="eastAsia"/>
          <w:sz w:val="24"/>
          <w:szCs w:val="24"/>
        </w:rPr>
        <w:t>中信建投价值甄选混合型证券投资基金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泰信财富</w:t>
      </w:r>
      <w:r>
        <w:rPr>
          <w:rFonts w:asciiTheme="minorEastAsia" w:hAnsiTheme="minorEastAsia" w:hint="eastAsia"/>
          <w:sz w:val="24"/>
          <w:szCs w:val="24"/>
        </w:rPr>
        <w:t>的规定为准</w:t>
      </w:r>
      <w:r>
        <w:rPr>
          <w:rFonts w:asciiTheme="minorEastAsia" w:hAnsiTheme="minorEastAsia" w:hint="eastAsia"/>
          <w:sz w:val="24"/>
          <w:szCs w:val="24"/>
        </w:rPr>
        <w:t>。</w:t>
      </w:r>
    </w:p>
    <w:p w:rsidR="00F431ED" w:rsidRDefault="000D3B77">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F431ED" w:rsidRDefault="000D3B7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泰信财富基金销售有限公司</w:t>
      </w:r>
    </w:p>
    <w:p w:rsidR="00F431ED" w:rsidRDefault="000D3B7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www.taixincf.com</w:t>
      </w:r>
    </w:p>
    <w:p w:rsidR="00F431ED" w:rsidRDefault="000D3B7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400-004-8821</w:t>
      </w:r>
    </w:p>
    <w:p w:rsidR="00F431ED" w:rsidRDefault="000D3B77">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F431ED" w:rsidRDefault="00F431ED">
      <w:pPr>
        <w:spacing w:line="360" w:lineRule="auto"/>
        <w:ind w:firstLineChars="200" w:firstLine="480"/>
        <w:rPr>
          <w:rFonts w:asciiTheme="minorEastAsia" w:hAnsiTheme="minorEastAsia" w:cs="Times New Roman"/>
          <w:sz w:val="24"/>
          <w:szCs w:val="24"/>
        </w:rPr>
      </w:pP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F431ED" w:rsidRDefault="000D3B77">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设有最短持有期的</w:t>
      </w:r>
      <w:r>
        <w:rPr>
          <w:rFonts w:asciiTheme="minorEastAsia" w:hAnsiTheme="minorEastAsia" w:cs="Times New Roman" w:hint="eastAsia"/>
          <w:sz w:val="24"/>
          <w:szCs w:val="24"/>
        </w:rPr>
        <w:t>基金于每份基金份额最短持有期结束后可以办理赎回业务；</w:t>
      </w:r>
    </w:p>
    <w:p w:rsidR="00F431ED" w:rsidRDefault="000D3B7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F431ED" w:rsidRDefault="00F431ED">
      <w:pPr>
        <w:spacing w:line="360" w:lineRule="auto"/>
        <w:rPr>
          <w:rFonts w:asciiTheme="minorEastAsia" w:hAnsiTheme="minorEastAsia" w:cs="Times New Roman"/>
          <w:sz w:val="24"/>
          <w:szCs w:val="24"/>
        </w:rPr>
      </w:pPr>
    </w:p>
    <w:p w:rsidR="00F431ED" w:rsidRDefault="000D3B77">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F431ED" w:rsidRDefault="00F431ED">
      <w:pPr>
        <w:tabs>
          <w:tab w:val="center" w:pos="3686"/>
          <w:tab w:val="center" w:pos="6237"/>
        </w:tabs>
        <w:spacing w:line="360" w:lineRule="auto"/>
        <w:rPr>
          <w:rFonts w:asciiTheme="minorEastAsia" w:hAnsiTheme="minorEastAsia" w:cs="Times New Roman"/>
          <w:sz w:val="24"/>
          <w:szCs w:val="24"/>
        </w:rPr>
      </w:pPr>
    </w:p>
    <w:p w:rsidR="00F431ED" w:rsidRDefault="000D3B77">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F431ED" w:rsidRDefault="000D3B77">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7</w:t>
      </w:r>
      <w:r>
        <w:rPr>
          <w:rFonts w:asciiTheme="minorEastAsia" w:hAnsiTheme="minorEastAsia" w:cs="Times New Roman" w:hint="eastAsia"/>
          <w:sz w:val="24"/>
          <w:szCs w:val="24"/>
        </w:rPr>
        <w:t>月</w:t>
      </w:r>
      <w:r>
        <w:rPr>
          <w:rFonts w:asciiTheme="minorEastAsia" w:hAnsiTheme="minorEastAsia" w:cs="Times New Roman" w:hint="eastAsia"/>
          <w:sz w:val="24"/>
          <w:szCs w:val="24"/>
        </w:rPr>
        <w:t>29</w:t>
      </w:r>
      <w:r>
        <w:rPr>
          <w:rFonts w:asciiTheme="minorEastAsia" w:hAnsiTheme="minorEastAsia" w:cs="Times New Roman" w:hint="eastAsia"/>
          <w:sz w:val="24"/>
          <w:szCs w:val="24"/>
        </w:rPr>
        <w:t>日</w:t>
      </w:r>
    </w:p>
    <w:sectPr w:rsidR="00F431ED" w:rsidSect="00F431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7219E"/>
    <w:multiLevelType w:val="singleLevel"/>
    <w:tmpl w:val="4CB7219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0D3B77"/>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31ED"/>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100E196D"/>
    <w:rsid w:val="304729CD"/>
    <w:rsid w:val="37D84DA1"/>
    <w:rsid w:val="3C70707C"/>
    <w:rsid w:val="43E143A0"/>
    <w:rsid w:val="448A7DC7"/>
    <w:rsid w:val="4A090980"/>
    <w:rsid w:val="4DD57515"/>
    <w:rsid w:val="591D435E"/>
    <w:rsid w:val="647B7BF2"/>
    <w:rsid w:val="64B77038"/>
    <w:rsid w:val="64BA455B"/>
    <w:rsid w:val="6B6C45E6"/>
    <w:rsid w:val="720660AA"/>
    <w:rsid w:val="73296B7E"/>
    <w:rsid w:val="781435D1"/>
    <w:rsid w:val="793D1E0C"/>
    <w:rsid w:val="7C3A2707"/>
    <w:rsid w:val="7E767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E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431ED"/>
    <w:pPr>
      <w:jc w:val="left"/>
    </w:pPr>
  </w:style>
  <w:style w:type="paragraph" w:styleId="a4">
    <w:name w:val="Balloon Text"/>
    <w:basedOn w:val="a"/>
    <w:link w:val="Char0"/>
    <w:uiPriority w:val="99"/>
    <w:unhideWhenUsed/>
    <w:qFormat/>
    <w:rsid w:val="00F431ED"/>
    <w:rPr>
      <w:sz w:val="18"/>
      <w:szCs w:val="18"/>
    </w:rPr>
  </w:style>
  <w:style w:type="paragraph" w:styleId="a5">
    <w:name w:val="footer"/>
    <w:basedOn w:val="a"/>
    <w:link w:val="Char1"/>
    <w:uiPriority w:val="99"/>
    <w:unhideWhenUsed/>
    <w:qFormat/>
    <w:rsid w:val="00F431E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431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431ED"/>
    <w:rPr>
      <w:b/>
      <w:bCs/>
    </w:rPr>
  </w:style>
  <w:style w:type="table" w:styleId="a8">
    <w:name w:val="Table Grid"/>
    <w:basedOn w:val="a1"/>
    <w:uiPriority w:val="59"/>
    <w:qFormat/>
    <w:rsid w:val="00F43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F431ED"/>
    <w:rPr>
      <w:color w:val="555555"/>
      <w:u w:val="none"/>
    </w:rPr>
  </w:style>
  <w:style w:type="character" w:styleId="aa">
    <w:name w:val="Hyperlink"/>
    <w:basedOn w:val="a0"/>
    <w:uiPriority w:val="99"/>
    <w:unhideWhenUsed/>
    <w:qFormat/>
    <w:rsid w:val="00F431ED"/>
    <w:rPr>
      <w:color w:val="0563C1" w:themeColor="hyperlink"/>
      <w:u w:val="single"/>
    </w:rPr>
  </w:style>
  <w:style w:type="character" w:styleId="ab">
    <w:name w:val="annotation reference"/>
    <w:basedOn w:val="a0"/>
    <w:uiPriority w:val="99"/>
    <w:semiHidden/>
    <w:unhideWhenUsed/>
    <w:qFormat/>
    <w:rsid w:val="00F431ED"/>
    <w:rPr>
      <w:sz w:val="21"/>
      <w:szCs w:val="21"/>
    </w:rPr>
  </w:style>
  <w:style w:type="character" w:customStyle="1" w:styleId="Char2">
    <w:name w:val="页眉 Char"/>
    <w:basedOn w:val="a0"/>
    <w:link w:val="a6"/>
    <w:uiPriority w:val="99"/>
    <w:qFormat/>
    <w:rsid w:val="00F431ED"/>
    <w:rPr>
      <w:sz w:val="18"/>
      <w:szCs w:val="18"/>
    </w:rPr>
  </w:style>
  <w:style w:type="character" w:customStyle="1" w:styleId="Char1">
    <w:name w:val="页脚 Char"/>
    <w:basedOn w:val="a0"/>
    <w:link w:val="a5"/>
    <w:uiPriority w:val="99"/>
    <w:qFormat/>
    <w:rsid w:val="00F431ED"/>
    <w:rPr>
      <w:sz w:val="18"/>
      <w:szCs w:val="18"/>
    </w:rPr>
  </w:style>
  <w:style w:type="paragraph" w:customStyle="1" w:styleId="1">
    <w:name w:val="列出段落1"/>
    <w:basedOn w:val="a"/>
    <w:uiPriority w:val="34"/>
    <w:qFormat/>
    <w:rsid w:val="00F431ED"/>
    <w:pPr>
      <w:ind w:firstLineChars="200" w:firstLine="420"/>
    </w:pPr>
  </w:style>
  <w:style w:type="character" w:customStyle="1" w:styleId="Char0">
    <w:name w:val="批注框文本 Char"/>
    <w:basedOn w:val="a0"/>
    <w:link w:val="a4"/>
    <w:uiPriority w:val="99"/>
    <w:semiHidden/>
    <w:qFormat/>
    <w:rsid w:val="00F431ED"/>
    <w:rPr>
      <w:sz w:val="18"/>
      <w:szCs w:val="18"/>
    </w:rPr>
  </w:style>
  <w:style w:type="character" w:customStyle="1" w:styleId="hover34">
    <w:name w:val="hover34"/>
    <w:basedOn w:val="a0"/>
    <w:qFormat/>
    <w:rsid w:val="00F431ED"/>
    <w:rPr>
      <w:shd w:val="clear" w:color="auto" w:fill="F39700"/>
    </w:rPr>
  </w:style>
  <w:style w:type="paragraph" w:styleId="ac">
    <w:name w:val="List Paragraph"/>
    <w:basedOn w:val="a"/>
    <w:uiPriority w:val="99"/>
    <w:qFormat/>
    <w:rsid w:val="00F431ED"/>
    <w:pPr>
      <w:ind w:firstLineChars="200" w:firstLine="420"/>
    </w:pPr>
  </w:style>
  <w:style w:type="paragraph" w:customStyle="1" w:styleId="Default">
    <w:name w:val="Default"/>
    <w:qFormat/>
    <w:rsid w:val="00F431ED"/>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F431ED"/>
    <w:rPr>
      <w:color w:val="605E5C"/>
      <w:shd w:val="clear" w:color="auto" w:fill="E1DFDD"/>
    </w:rPr>
  </w:style>
  <w:style w:type="character" w:customStyle="1" w:styleId="Char">
    <w:name w:val="批注文字 Char"/>
    <w:basedOn w:val="a0"/>
    <w:link w:val="a3"/>
    <w:uiPriority w:val="99"/>
    <w:semiHidden/>
    <w:qFormat/>
    <w:rsid w:val="00F431ED"/>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F431ED"/>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F431ED"/>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F431ED"/>
    <w:rPr>
      <w:color w:val="605E5C"/>
      <w:shd w:val="clear" w:color="auto" w:fill="E1DFDD"/>
    </w:rPr>
  </w:style>
  <w:style w:type="paragraph" w:customStyle="1" w:styleId="dazhangjie">
    <w:name w:val="dazhangjie"/>
    <w:basedOn w:val="a"/>
    <w:rsid w:val="00F431ED"/>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76CB2-C00F-40F9-A837-59053D01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4</DocSecurity>
  <Lines>15</Lines>
  <Paragraphs>4</Paragraphs>
  <ScaleCrop>false</ScaleCrop>
  <Company>CNSTOCK</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2022-07-28T16:02:00Z</dcterms:created>
  <dcterms:modified xsi:type="dcterms:W3CDTF">2022-07-28T16:02:00Z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