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2" w:rsidRPr="00335793" w:rsidRDefault="007F0366" w:rsidP="00335793">
      <w:pPr>
        <w:widowControl w:val="0"/>
        <w:spacing w:after="0" w:line="360" w:lineRule="auto"/>
        <w:ind w:left="0" w:right="0" w:firstLine="0"/>
        <w:jc w:val="center"/>
        <w:rPr>
          <w:rFonts w:ascii="Times New Roman" w:eastAsiaTheme="minorEastAsia" w:hAnsi="Times New Roman" w:cstheme="minorBidi"/>
          <w:b/>
          <w:color w:val="auto"/>
          <w:sz w:val="30"/>
          <w:szCs w:val="30"/>
        </w:rPr>
      </w:pPr>
      <w:bookmarkStart w:id="0" w:name="_GoBack"/>
      <w:bookmarkEnd w:id="0"/>
      <w:r w:rsidRPr="007F0366">
        <w:rPr>
          <w:rFonts w:ascii="Times New Roman" w:eastAsiaTheme="minorEastAsia" w:hAnsi="Times New Roman" w:cstheme="minorBidi" w:hint="eastAsia"/>
          <w:b/>
          <w:color w:val="auto"/>
          <w:sz w:val="30"/>
          <w:szCs w:val="30"/>
        </w:rPr>
        <w:t>富国基金管理有限公司关于旗下上交所</w:t>
      </w:r>
      <w:r w:rsidRPr="007F0366">
        <w:rPr>
          <w:rFonts w:ascii="Times New Roman" w:eastAsiaTheme="minorEastAsia" w:hAnsi="Times New Roman" w:cstheme="minorBidi"/>
          <w:b/>
          <w:color w:val="auto"/>
          <w:sz w:val="30"/>
          <w:szCs w:val="30"/>
        </w:rPr>
        <w:t>ETF</w:t>
      </w:r>
      <w:r w:rsidRPr="007F0366">
        <w:rPr>
          <w:rFonts w:ascii="Times New Roman" w:eastAsiaTheme="minorEastAsia" w:hAnsi="Times New Roman" w:cstheme="minorBidi"/>
          <w:b/>
          <w:color w:val="auto"/>
          <w:sz w:val="30"/>
          <w:szCs w:val="30"/>
        </w:rPr>
        <w:t>申购赎回清单版本更新的公告</w:t>
      </w:r>
    </w:p>
    <w:p w:rsidR="00E5754F" w:rsidRPr="00E5754F" w:rsidRDefault="00E5754F" w:rsidP="00E5754F">
      <w:pPr>
        <w:spacing w:after="0" w:line="240" w:lineRule="auto"/>
        <w:ind w:left="0" w:right="0" w:firstLine="0"/>
        <w:jc w:val="center"/>
        <w:rPr>
          <w:rFonts w:asciiTheme="majorEastAsia" w:eastAsiaTheme="majorEastAsia" w:hAnsiTheme="majorEastAsia"/>
          <w:sz w:val="36"/>
        </w:rPr>
      </w:pPr>
    </w:p>
    <w:p w:rsidR="00E5754F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根据上海证券交易所（以下简称“上交所”）于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2020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年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4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月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9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日公告的《关于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申购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赎回清单新版本上线的通知》（以下简称“《通知》”），自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2020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年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4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月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20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日起，上交所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新版申购赎回清单正式上线。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富国基金管理有限公司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（以下简称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“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本公司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”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）拟自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202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2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年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8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月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1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日起对旗下部分上交所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申购赎回清单进行版本更新，招募说明书如有涉及，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亦</w:t>
      </w:r>
      <w:r w:rsidR="003F3408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将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相应更新。</w:t>
      </w:r>
      <w:r w:rsidR="00FA4EA2" w:rsidRPr="00335793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 xml:space="preserve"> </w:t>
      </w:r>
    </w:p>
    <w:p w:rsid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</w:p>
    <w:p w:rsid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一</w:t>
      </w:r>
      <w:r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、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本公司旗下拟更新申购赎回清单版本的上交所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列表</w:t>
      </w:r>
    </w:p>
    <w:tbl>
      <w:tblPr>
        <w:tblW w:w="9923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5030"/>
        <w:gridCol w:w="1275"/>
        <w:gridCol w:w="2268"/>
      </w:tblGrid>
      <w:tr w:rsidR="00D7420C" w:rsidRPr="00D7420C" w:rsidTr="00370027">
        <w:trPr>
          <w:trHeight w:val="34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代码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名称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场内简称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基金扩位场内简称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510210.SH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上证综指交易型开放式指数证券投资基金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综指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上证指数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511310.SH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10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年期国债交易型开放式指数证券投资基金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十年债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10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年国债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511900.SH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富国收益宝交易型货币市场基金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富国货币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富国货币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512040.SH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富国中证价值交易型开放式指数证券投资基金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国信价值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价值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100ETF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512710.SH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富国中证军工龙头交易型开放式指数证券投资基金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军工龙头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军工龙头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515150.SH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富国中证国企一带一路交易型开放式指数证券投资基金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国企富国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一带一路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515280.SH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富国中证银行交易型开放式指数证券投资基金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银行龙头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银行龙头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515650.SH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富国中证消费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50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消费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消费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50ETF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515750.SH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富国中证科技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50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策略交易型开放式指数证券投资基金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科技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科技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50ETF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515820.SH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800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沪深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A800ETF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515850.SH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富国中证全指证券公司交易型开放式指数证券投资基金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证券龙头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证券龙头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515950.SH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富国中证医药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50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交易型开放式指数证券投资基金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医药龙头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医药龙头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  <w:tr w:rsidR="00D7420C" w:rsidRPr="00D7420C" w:rsidTr="00370027">
        <w:trPr>
          <w:trHeight w:val="34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518680.SH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富国上海金交易型开放式证券投资基金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金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0C" w:rsidRPr="00D7420C" w:rsidRDefault="00D7420C" w:rsidP="00D7420C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/>
              </w:rPr>
            </w:pP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金</w:t>
            </w:r>
            <w:r w:rsidRPr="00D7420C"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/>
              </w:rPr>
              <w:t>ETF</w:t>
            </w:r>
          </w:p>
        </w:tc>
      </w:tr>
    </w:tbl>
    <w:p w:rsidR="00D7420C" w:rsidRDefault="00D7420C" w:rsidP="00D7420C">
      <w:pPr>
        <w:adjustRightInd w:val="0"/>
        <w:snapToGrid w:val="0"/>
        <w:spacing w:after="0" w:line="360" w:lineRule="auto"/>
        <w:ind w:left="0" w:right="0" w:firstLineChars="189" w:firstLine="454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</w:p>
    <w:p w:rsidR="00D7420C" w:rsidRP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二、修订情况说明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 xml:space="preserve"> </w:t>
      </w:r>
    </w:p>
    <w:p w:rsidR="00D7420C" w:rsidRP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lastRenderedPageBreak/>
        <w:t>根据《通知》，上交所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新版申购赎回清单将原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“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现金替代溢价比例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”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字段改为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“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申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购现金替代溢价比例”，新增“赎回现金替代折价比例”字段，用于表示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赎回时成分证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券份额用现金替代时的折价比例。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 xml:space="preserve"> </w:t>
      </w:r>
    </w:p>
    <w:p w:rsid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自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202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2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年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8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月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1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日起，本公司旗下上述上交所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将采用新版申购赎回清单。各基金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的招募说明书也</w:t>
      </w:r>
      <w:r w:rsidR="003F3408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将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根据实际情况进行必要修改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。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 xml:space="preserve"> </w:t>
      </w:r>
    </w:p>
    <w:p w:rsidR="00E26A5B" w:rsidRDefault="00E26A5B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</w:p>
    <w:p w:rsid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三</w:t>
      </w:r>
      <w:r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、</w:t>
      </w:r>
      <w:r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重要提示</w:t>
      </w:r>
    </w:p>
    <w:p w:rsidR="00D7420C" w:rsidRP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本公告仅对本公司旗下部分上交所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申购赎回清单版本更新并相应修改招募说明书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的事项进行说明。本公司旗下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ETF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申购赎回清单以证券交易所实际公布的为准，投资者可登</w:t>
      </w: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录本公司网站进行查询。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 xml:space="preserve"> </w:t>
      </w:r>
    </w:p>
    <w:p w:rsidR="00D7420C" w:rsidRDefault="00D7420C" w:rsidP="00D7420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 w:rsidRPr="00D7420C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投资人可以登录本基金管理人网站（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www.fullgoal.com.cn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）或拨打本基金管理人的客户服务电话（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95105686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、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400-888-0688</w:t>
      </w:r>
      <w:r w:rsidRPr="00D7420C">
        <w:rPr>
          <w:rFonts w:ascii="Times New Roman" w:eastAsiaTheme="minorEastAsia" w:hAnsi="Times New Roman" w:cs="Times New Roman"/>
          <w:bCs/>
          <w:color w:val="auto"/>
          <w:szCs w:val="20"/>
          <w:lang/>
        </w:rPr>
        <w:t>），咨询有关详情。</w:t>
      </w:r>
    </w:p>
    <w:p w:rsidR="00E5754F" w:rsidRPr="000E3B7F" w:rsidRDefault="00E5754F" w:rsidP="00427707">
      <w:pPr>
        <w:adjustRightInd w:val="0"/>
        <w:snapToGrid w:val="0"/>
        <w:spacing w:after="0" w:line="360" w:lineRule="auto"/>
        <w:ind w:left="0" w:right="0" w:firstLineChars="200" w:firstLine="480"/>
        <w:rPr>
          <w:rFonts w:ascii="Times New Roman" w:hAnsi="Times New Roman" w:cs="Times New Roman"/>
          <w:bCs/>
          <w:color w:val="auto"/>
          <w:szCs w:val="20"/>
          <w:lang/>
        </w:rPr>
      </w:pPr>
    </w:p>
    <w:p w:rsidR="000E3B7F" w:rsidRDefault="00FA4EA2" w:rsidP="00335793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  <w:r w:rsidRPr="00335793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风险提示：本公司承诺以诚实信用、勤勉尽责的原则管理和运用基金资产，但不保证基金一定盈利，也不保证最低收益。投资人应认真阅读基金的相关法律文件，了解所投资基金的风险收益特征，并根据自身情况购买与风险承受能力相匹配的产品。</w:t>
      </w:r>
    </w:p>
    <w:p w:rsidR="007574F5" w:rsidRPr="00335793" w:rsidRDefault="007574F5" w:rsidP="00335793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Theme="minorEastAsia" w:hAnsi="Times New Roman" w:cs="Times New Roman"/>
          <w:bCs/>
          <w:color w:val="auto"/>
          <w:szCs w:val="20"/>
          <w:lang/>
        </w:rPr>
      </w:pPr>
    </w:p>
    <w:p w:rsidR="001954E2" w:rsidRPr="00E5754F" w:rsidRDefault="00FA4EA2" w:rsidP="00335793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hAnsi="Times New Roman" w:cs="Times New Roman"/>
          <w:bCs/>
          <w:color w:val="auto"/>
          <w:szCs w:val="20"/>
          <w:lang/>
        </w:rPr>
      </w:pPr>
      <w:r w:rsidRPr="00335793">
        <w:rPr>
          <w:rFonts w:ascii="Times New Roman" w:eastAsiaTheme="minorEastAsia" w:hAnsi="Times New Roman" w:cs="Times New Roman" w:hint="eastAsia"/>
          <w:bCs/>
          <w:color w:val="auto"/>
          <w:szCs w:val="20"/>
          <w:lang/>
        </w:rPr>
        <w:t>特此公告。</w:t>
      </w:r>
      <w:r w:rsidRPr="00E5754F">
        <w:rPr>
          <w:rFonts w:ascii="Times New Roman" w:hAnsi="Times New Roman" w:cs="Times New Roman"/>
          <w:bCs/>
          <w:color w:val="auto"/>
          <w:szCs w:val="20"/>
          <w:lang/>
        </w:rPr>
        <w:t xml:space="preserve"> </w:t>
      </w:r>
    </w:p>
    <w:p w:rsidR="001954E2" w:rsidRPr="00E5754F" w:rsidRDefault="00FA4EA2" w:rsidP="00E5754F">
      <w:pPr>
        <w:adjustRightInd w:val="0"/>
        <w:snapToGrid w:val="0"/>
        <w:spacing w:after="0" w:line="360" w:lineRule="auto"/>
        <w:ind w:left="0" w:right="0" w:firstLine="200"/>
        <w:rPr>
          <w:rFonts w:ascii="Times New Roman" w:hAnsi="Times New Roman" w:cs="Times New Roman"/>
          <w:bCs/>
          <w:color w:val="auto"/>
          <w:szCs w:val="20"/>
          <w:lang/>
        </w:rPr>
      </w:pPr>
      <w:r w:rsidRPr="00E5754F">
        <w:rPr>
          <w:rFonts w:ascii="Times New Roman" w:hAnsi="Times New Roman" w:cs="Times New Roman"/>
          <w:bCs/>
          <w:color w:val="auto"/>
          <w:szCs w:val="20"/>
          <w:lang/>
        </w:rPr>
        <w:t xml:space="preserve"> </w:t>
      </w:r>
    </w:p>
    <w:p w:rsidR="001954E2" w:rsidRPr="00E5754F" w:rsidRDefault="00427707" w:rsidP="00E5754F">
      <w:pPr>
        <w:adjustRightInd w:val="0"/>
        <w:snapToGrid w:val="0"/>
        <w:spacing w:after="0" w:line="360" w:lineRule="auto"/>
        <w:ind w:left="0" w:right="0" w:firstLine="200"/>
        <w:jc w:val="right"/>
        <w:rPr>
          <w:rFonts w:ascii="Times New Roman" w:hAnsi="Times New Roman" w:cs="Times New Roman"/>
          <w:bCs/>
          <w:color w:val="auto"/>
          <w:szCs w:val="20"/>
          <w:lang/>
        </w:rPr>
      </w:pPr>
      <w:r>
        <w:rPr>
          <w:rFonts w:ascii="Times New Roman" w:hAnsi="Times New Roman" w:cs="Times New Roman" w:hint="eastAsia"/>
          <w:bCs/>
          <w:color w:val="auto"/>
          <w:szCs w:val="20"/>
          <w:lang/>
        </w:rPr>
        <w:t>富国</w:t>
      </w:r>
      <w:r w:rsidR="00FA4EA2" w:rsidRPr="00E5754F">
        <w:rPr>
          <w:rFonts w:ascii="Times New Roman" w:hAnsi="Times New Roman" w:cs="Times New Roman"/>
          <w:bCs/>
          <w:color w:val="auto"/>
          <w:szCs w:val="20"/>
          <w:lang/>
        </w:rPr>
        <w:t>基金管理有限公司</w:t>
      </w:r>
      <w:r w:rsidR="00FA4EA2" w:rsidRPr="00E5754F">
        <w:rPr>
          <w:rFonts w:ascii="Times New Roman" w:hAnsi="Times New Roman" w:cs="Times New Roman"/>
          <w:bCs/>
          <w:color w:val="auto"/>
          <w:szCs w:val="20"/>
          <w:lang/>
        </w:rPr>
        <w:t xml:space="preserve"> </w:t>
      </w:r>
    </w:p>
    <w:p w:rsidR="001954E2" w:rsidRPr="00E5754F" w:rsidRDefault="00FA4EA2" w:rsidP="00E5754F">
      <w:pPr>
        <w:adjustRightInd w:val="0"/>
        <w:snapToGrid w:val="0"/>
        <w:spacing w:after="0" w:line="360" w:lineRule="auto"/>
        <w:ind w:left="0" w:right="0" w:firstLine="200"/>
        <w:jc w:val="right"/>
        <w:rPr>
          <w:rFonts w:ascii="Times New Roman" w:hAnsi="Times New Roman" w:cs="Times New Roman"/>
          <w:bCs/>
          <w:color w:val="auto"/>
          <w:szCs w:val="20"/>
          <w:lang/>
        </w:rPr>
      </w:pPr>
      <w:r w:rsidRPr="00E5754F">
        <w:rPr>
          <w:rFonts w:ascii="Times New Roman" w:hAnsi="Times New Roman" w:cs="Times New Roman"/>
          <w:bCs/>
          <w:color w:val="auto"/>
          <w:szCs w:val="20"/>
          <w:lang/>
        </w:rPr>
        <w:t>202</w:t>
      </w:r>
      <w:r w:rsidR="00922BDA">
        <w:rPr>
          <w:rFonts w:ascii="Times New Roman" w:hAnsi="Times New Roman" w:cs="Times New Roman"/>
          <w:bCs/>
          <w:color w:val="auto"/>
          <w:szCs w:val="20"/>
          <w:lang/>
        </w:rPr>
        <w:t>2</w:t>
      </w:r>
      <w:r w:rsidRPr="00E5754F">
        <w:rPr>
          <w:rFonts w:ascii="Times New Roman" w:hAnsi="Times New Roman" w:cs="Times New Roman"/>
          <w:bCs/>
          <w:color w:val="auto"/>
          <w:szCs w:val="20"/>
          <w:lang/>
        </w:rPr>
        <w:t>年</w:t>
      </w:r>
      <w:r w:rsidR="006D2F27">
        <w:rPr>
          <w:rFonts w:ascii="Times New Roman" w:hAnsi="Times New Roman" w:cs="Times New Roman"/>
          <w:bCs/>
          <w:color w:val="auto"/>
          <w:szCs w:val="20"/>
          <w:lang/>
        </w:rPr>
        <w:t>7</w:t>
      </w:r>
      <w:r w:rsidRPr="00E5754F">
        <w:rPr>
          <w:rFonts w:ascii="Times New Roman" w:hAnsi="Times New Roman" w:cs="Times New Roman"/>
          <w:bCs/>
          <w:color w:val="auto"/>
          <w:szCs w:val="20"/>
          <w:lang/>
        </w:rPr>
        <w:t>月</w:t>
      </w:r>
      <w:r w:rsidR="007574F5">
        <w:rPr>
          <w:rFonts w:ascii="Times New Roman" w:hAnsi="Times New Roman" w:cs="Times New Roman"/>
          <w:bCs/>
          <w:color w:val="auto"/>
          <w:szCs w:val="20"/>
          <w:lang/>
        </w:rPr>
        <w:t>28</w:t>
      </w:r>
      <w:r w:rsidRPr="00E5754F">
        <w:rPr>
          <w:rFonts w:ascii="Times New Roman" w:hAnsi="Times New Roman" w:cs="Times New Roman"/>
          <w:bCs/>
          <w:color w:val="auto"/>
          <w:szCs w:val="20"/>
          <w:lang/>
        </w:rPr>
        <w:t>日</w:t>
      </w:r>
      <w:r w:rsidRPr="00E5754F">
        <w:rPr>
          <w:rFonts w:ascii="Times New Roman" w:hAnsi="Times New Roman" w:cs="Times New Roman"/>
          <w:bCs/>
          <w:color w:val="auto"/>
          <w:szCs w:val="20"/>
          <w:lang/>
        </w:rPr>
        <w:t xml:space="preserve"> </w:t>
      </w:r>
    </w:p>
    <w:sectPr w:rsidR="001954E2" w:rsidRPr="00E5754F" w:rsidSect="00D82D9B">
      <w:pgSz w:w="11906" w:h="16838"/>
      <w:pgMar w:top="1555" w:right="1560" w:bottom="1937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20" w:rsidRDefault="00265F20" w:rsidP="00E5754F">
      <w:pPr>
        <w:spacing w:after="0" w:line="240" w:lineRule="auto"/>
      </w:pPr>
      <w:r>
        <w:separator/>
      </w:r>
    </w:p>
  </w:endnote>
  <w:endnote w:type="continuationSeparator" w:id="0">
    <w:p w:rsidR="00265F20" w:rsidRDefault="00265F20" w:rsidP="00E5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20" w:rsidRDefault="00265F20" w:rsidP="00E5754F">
      <w:pPr>
        <w:spacing w:after="0" w:line="240" w:lineRule="auto"/>
      </w:pPr>
      <w:r>
        <w:separator/>
      </w:r>
    </w:p>
  </w:footnote>
  <w:footnote w:type="continuationSeparator" w:id="0">
    <w:p w:rsidR="00265F20" w:rsidRDefault="00265F20" w:rsidP="00E5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721BE"/>
    <w:multiLevelType w:val="hybridMultilevel"/>
    <w:tmpl w:val="68D07446"/>
    <w:lvl w:ilvl="0" w:tplc="820C992A">
      <w:start w:val="1"/>
      <w:numFmt w:val="japaneseCounting"/>
      <w:lvlText w:val="%1、"/>
      <w:lvlJc w:val="left"/>
      <w:pPr>
        <w:ind w:left="93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5" w:hanging="420"/>
      </w:pPr>
    </w:lvl>
    <w:lvl w:ilvl="2" w:tplc="0409001B" w:tentative="1">
      <w:start w:val="1"/>
      <w:numFmt w:val="lowerRoman"/>
      <w:lvlText w:val="%3."/>
      <w:lvlJc w:val="righ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9" w:tentative="1">
      <w:start w:val="1"/>
      <w:numFmt w:val="lowerLetter"/>
      <w:lvlText w:val="%5)"/>
      <w:lvlJc w:val="left"/>
      <w:pPr>
        <w:ind w:left="2555" w:hanging="420"/>
      </w:pPr>
    </w:lvl>
    <w:lvl w:ilvl="5" w:tplc="0409001B" w:tentative="1">
      <w:start w:val="1"/>
      <w:numFmt w:val="lowerRoman"/>
      <w:lvlText w:val="%6."/>
      <w:lvlJc w:val="righ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9" w:tentative="1">
      <w:start w:val="1"/>
      <w:numFmt w:val="lowerLetter"/>
      <w:lvlText w:val="%8)"/>
      <w:lvlJc w:val="left"/>
      <w:pPr>
        <w:ind w:left="3815" w:hanging="420"/>
      </w:pPr>
    </w:lvl>
    <w:lvl w:ilvl="8" w:tplc="0409001B" w:tentative="1">
      <w:start w:val="1"/>
      <w:numFmt w:val="lowerRoman"/>
      <w:lvlText w:val="%9."/>
      <w:lvlJc w:val="right"/>
      <w:pPr>
        <w:ind w:left="42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4E2"/>
    <w:rsid w:val="000328E0"/>
    <w:rsid w:val="000E3B7F"/>
    <w:rsid w:val="00135729"/>
    <w:rsid w:val="001954E2"/>
    <w:rsid w:val="002305EE"/>
    <w:rsid w:val="00265F20"/>
    <w:rsid w:val="00266518"/>
    <w:rsid w:val="0028237C"/>
    <w:rsid w:val="002C72FD"/>
    <w:rsid w:val="00335793"/>
    <w:rsid w:val="00370027"/>
    <w:rsid w:val="003F3408"/>
    <w:rsid w:val="00427707"/>
    <w:rsid w:val="00552A46"/>
    <w:rsid w:val="005542C3"/>
    <w:rsid w:val="0063714D"/>
    <w:rsid w:val="0067085D"/>
    <w:rsid w:val="00675D0C"/>
    <w:rsid w:val="006D2F27"/>
    <w:rsid w:val="007574F5"/>
    <w:rsid w:val="007F0366"/>
    <w:rsid w:val="007F390E"/>
    <w:rsid w:val="008A1E69"/>
    <w:rsid w:val="00922BDA"/>
    <w:rsid w:val="009B0435"/>
    <w:rsid w:val="00A75C19"/>
    <w:rsid w:val="00AA58B2"/>
    <w:rsid w:val="00AE3000"/>
    <w:rsid w:val="00AF0E21"/>
    <w:rsid w:val="00B72F89"/>
    <w:rsid w:val="00C01DB7"/>
    <w:rsid w:val="00C24F0A"/>
    <w:rsid w:val="00D609E4"/>
    <w:rsid w:val="00D66E29"/>
    <w:rsid w:val="00D7420C"/>
    <w:rsid w:val="00D82D9B"/>
    <w:rsid w:val="00DD6FB7"/>
    <w:rsid w:val="00E26A5B"/>
    <w:rsid w:val="00E5754F"/>
    <w:rsid w:val="00E93BFD"/>
    <w:rsid w:val="00FA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9B"/>
    <w:pPr>
      <w:spacing w:after="212" w:line="397" w:lineRule="auto"/>
      <w:ind w:left="-15" w:right="-15" w:firstLine="47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54F"/>
    <w:rPr>
      <w:rFonts w:ascii="宋体" w:eastAsia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5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54F"/>
    <w:rPr>
      <w:rFonts w:ascii="宋体" w:eastAsia="宋体" w:hAnsi="宋体" w:cs="宋体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5754F"/>
    <w:pPr>
      <w:ind w:firstLineChars="200" w:firstLine="420"/>
    </w:pPr>
  </w:style>
  <w:style w:type="paragraph" w:customStyle="1" w:styleId="Default">
    <w:name w:val="Default"/>
    <w:rsid w:val="004277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E3B7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3B7F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4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冯晓蕾</dc:creator>
  <cp:keywords/>
  <cp:lastModifiedBy>ZHONGM</cp:lastModifiedBy>
  <cp:revision>2</cp:revision>
  <dcterms:created xsi:type="dcterms:W3CDTF">2022-07-27T16:01:00Z</dcterms:created>
  <dcterms:modified xsi:type="dcterms:W3CDTF">2022-07-27T16:01:00Z</dcterms:modified>
</cp:coreProperties>
</file>