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0" w:rsidRDefault="00407970" w:rsidP="005C1DD0">
      <w:pPr>
        <w:widowControl/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b/>
          <w:bCs/>
          <w:kern w:val="0"/>
          <w:sz w:val="30"/>
          <w:szCs w:val="30"/>
          <w:bdr w:val="none" w:sz="0" w:space="0" w:color="auto" w:frame="1"/>
        </w:rPr>
        <w:t>宝盈基金管理有限公司关于新增</w:t>
      </w:r>
      <w:r w:rsidR="004364A1" w:rsidRPr="009977F8">
        <w:rPr>
          <w:rFonts w:asciiTheme="minorEastAsia" w:hAnsiTheme="minorEastAsia" w:cs="宋体" w:hint="eastAsia"/>
          <w:b/>
          <w:bCs/>
          <w:kern w:val="0"/>
          <w:sz w:val="30"/>
          <w:szCs w:val="30"/>
          <w:bdr w:val="none" w:sz="0" w:space="0" w:color="auto" w:frame="1"/>
        </w:rPr>
        <w:t>中正达广</w:t>
      </w:r>
      <w:r w:rsidRPr="009977F8">
        <w:rPr>
          <w:rFonts w:asciiTheme="minorEastAsia" w:hAnsiTheme="minorEastAsia" w:cs="宋体" w:hint="eastAsia"/>
          <w:b/>
          <w:bCs/>
          <w:kern w:val="0"/>
          <w:sz w:val="30"/>
          <w:szCs w:val="30"/>
          <w:bdr w:val="none" w:sz="0" w:space="0" w:color="auto" w:frame="1"/>
        </w:rPr>
        <w:t>为旗下部分基金代销机构的公告</w:t>
      </w:r>
    </w:p>
    <w:p w:rsidR="009977F8" w:rsidRPr="009977F8" w:rsidRDefault="009977F8" w:rsidP="005C1DD0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30"/>
          <w:szCs w:val="30"/>
        </w:rPr>
      </w:pPr>
    </w:p>
    <w:p w:rsidR="00124A0C" w:rsidRPr="009977F8" w:rsidRDefault="00407970" w:rsidP="009977F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根据宝盈基金管理有限公司（以下简称“本公司”）与</w:t>
      </w:r>
      <w:r w:rsidR="00C9621B"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上海中正达广基金销售有限公司</w:t>
      </w:r>
      <w:r w:rsidR="004364A1"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（以下简称“中正达广”）签署的销售服务代理协议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，自202</w:t>
      </w:r>
      <w:r w:rsidR="002F706D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2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年</w:t>
      </w:r>
      <w:r w:rsidR="004364A1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7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月</w:t>
      </w:r>
      <w:r w:rsidR="004364A1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28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日起，</w:t>
      </w:r>
      <w:r w:rsidR="004364A1"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中正达广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将代销本公司以下基金：</w:t>
      </w:r>
      <w:r w:rsidR="001052F5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 xml:space="preserve"> </w:t>
      </w:r>
    </w:p>
    <w:p w:rsidR="009A4AA7" w:rsidRPr="009977F8" w:rsidRDefault="009A4AA7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</w:p>
    <w:tbl>
      <w:tblPr>
        <w:tblW w:w="8993" w:type="dxa"/>
        <w:tblLook w:val="04A0"/>
      </w:tblPr>
      <w:tblGrid>
        <w:gridCol w:w="1210"/>
        <w:gridCol w:w="5047"/>
        <w:gridCol w:w="2736"/>
      </w:tblGrid>
      <w:tr w:rsidR="009977F8" w:rsidRPr="009977F8" w:rsidTr="009A4AA7">
        <w:trPr>
          <w:trHeight w:val="62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A1" w:rsidRPr="009977F8" w:rsidRDefault="004364A1" w:rsidP="004364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A1" w:rsidRPr="009977F8" w:rsidRDefault="004364A1" w:rsidP="004364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A1" w:rsidRPr="009977F8" w:rsidRDefault="004364A1" w:rsidP="004364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证券简称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007581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宝盈鸿利收益灵活配置混合型证券投资基金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宝盈鸿利收益C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007574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宝盈新价值灵活配置混合型证券投资基金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宝盈新价值C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007579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宝盈先进制造灵活配置混合型证券投资基金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宝盈先进制造C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007577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宝盈祥瑞混合型证券投资基金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宝盈祥瑞C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007578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宝盈新锐灵活配置混合型证券投资基金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宝盈新锐C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007575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宝盈祥泰混合型证券投资基金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宝盈祥泰C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008672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宝盈祥泽混合型证券投资基金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宝盈祥泽A</w:t>
            </w:r>
          </w:p>
        </w:tc>
      </w:tr>
      <w:tr w:rsidR="009977F8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008673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宝盈祥泽混合型证券投资基金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宝盈祥泽C</w:t>
            </w:r>
          </w:p>
        </w:tc>
      </w:tr>
      <w:tr w:rsidR="004364A1" w:rsidRPr="009977F8" w:rsidTr="009A4AA7">
        <w:trPr>
          <w:trHeight w:val="41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007580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宝盈中证100指数增强型证券投资基金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A1" w:rsidRPr="009977F8" w:rsidRDefault="004364A1" w:rsidP="004364A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7F8">
              <w:rPr>
                <w:rFonts w:ascii="宋体" w:eastAsia="宋体" w:hAnsi="宋体" w:cs="宋体" w:hint="eastAsia"/>
                <w:kern w:val="0"/>
                <w:sz w:val="22"/>
              </w:rPr>
              <w:t>宝盈中证100指数增强C</w:t>
            </w:r>
          </w:p>
        </w:tc>
      </w:tr>
    </w:tbl>
    <w:p w:rsidR="009A4AA7" w:rsidRPr="009977F8" w:rsidRDefault="009A4AA7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</w:p>
    <w:p w:rsidR="00407970" w:rsidRPr="009977F8" w:rsidRDefault="00407970" w:rsidP="009977F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投资人可通过以下途径咨询有关详情：</w:t>
      </w:r>
    </w:p>
    <w:p w:rsidR="00407970" w:rsidRPr="009977F8" w:rsidRDefault="00407970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1、宝盈基金管理有限公司</w:t>
      </w:r>
      <w:bookmarkStart w:id="0" w:name="_GoBack"/>
      <w:bookmarkEnd w:id="0"/>
    </w:p>
    <w:p w:rsidR="00407970" w:rsidRPr="009977F8" w:rsidRDefault="00407970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公司网站：</w:t>
      </w:r>
      <w:hyperlink r:id="rId6" w:history="1">
        <w:r w:rsidRPr="009977F8">
          <w:rPr>
            <w:rFonts w:asciiTheme="minorEastAsia" w:hAnsiTheme="minorEastAsia" w:cs="宋体" w:hint="eastAsia"/>
            <w:kern w:val="0"/>
            <w:sz w:val="24"/>
            <w:szCs w:val="24"/>
            <w:bdr w:val="none" w:sz="0" w:space="0" w:color="auto" w:frame="1"/>
          </w:rPr>
          <w:t>www.byfunds.com</w:t>
        </w:r>
      </w:hyperlink>
    </w:p>
    <w:p w:rsidR="00407970" w:rsidRPr="009977F8" w:rsidRDefault="00407970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客户咨询电话：400-8888-300（免长途话费）</w:t>
      </w:r>
    </w:p>
    <w:p w:rsidR="004364A1" w:rsidRPr="009977F8" w:rsidRDefault="00407970" w:rsidP="004364A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2、</w:t>
      </w:r>
      <w:r w:rsidR="00BC12E5"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上海中正达广基金销售有限公司</w:t>
      </w:r>
    </w:p>
    <w:p w:rsidR="004364A1" w:rsidRPr="009977F8" w:rsidRDefault="004364A1" w:rsidP="004364A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公司网站：www.zzwealth.cn</w:t>
      </w:r>
    </w:p>
    <w:p w:rsidR="004364A1" w:rsidRPr="009977F8" w:rsidRDefault="004364A1" w:rsidP="004364A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客户服务电话：400-6767-523</w:t>
      </w:r>
    </w:p>
    <w:p w:rsidR="004364A1" w:rsidRPr="009977F8" w:rsidRDefault="004364A1" w:rsidP="004364A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</w:p>
    <w:p w:rsidR="00407970" w:rsidRPr="009977F8" w:rsidRDefault="00407970" w:rsidP="009977F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风险提示：基金管理人承诺以诚实信用、勤勉尽责的原则管理和运用基金资产，但不保证基金一定盈利，也不保证最低收益。销售机构根据法规要求对投资人类别、风险承受能力和基金的风险等级进行划分，并提出适当性匹配意见。投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lastRenderedPageBreak/>
        <w:t>资人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9977F8" w:rsidRDefault="00407970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本公司保留对该公告的最终解释权。</w:t>
      </w:r>
    </w:p>
    <w:p w:rsidR="00E255A2" w:rsidRDefault="009977F8" w:rsidP="009977F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特此</w:t>
      </w:r>
      <w:r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公告</w:t>
      </w:r>
    </w:p>
    <w:p w:rsidR="009977F8" w:rsidRDefault="009977F8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977F8" w:rsidRPr="009977F8" w:rsidRDefault="009977F8" w:rsidP="005C1DD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407970" w:rsidRPr="009977F8" w:rsidRDefault="00407970" w:rsidP="00E255A2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 xml:space="preserve">    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宝盈基金管理有限公司</w:t>
      </w:r>
    </w:p>
    <w:p w:rsidR="00407970" w:rsidRPr="009977F8" w:rsidRDefault="00407970" w:rsidP="00E255A2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202</w:t>
      </w:r>
      <w:r w:rsidR="00726E46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2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年</w:t>
      </w:r>
      <w:r w:rsidR="00726E46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7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月</w:t>
      </w:r>
      <w:r w:rsidR="00726E46" w:rsidRPr="009977F8"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  <w:t>28</w:t>
      </w:r>
      <w:r w:rsidRPr="009977F8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日</w:t>
      </w:r>
    </w:p>
    <w:p w:rsidR="00A830A9" w:rsidRPr="005C1DD0" w:rsidRDefault="00A830A9" w:rsidP="00E255A2">
      <w:pPr>
        <w:spacing w:line="360" w:lineRule="auto"/>
        <w:jc w:val="right"/>
        <w:rPr>
          <w:rFonts w:asciiTheme="minorEastAsia" w:hAnsiTheme="minorEastAsia"/>
          <w:szCs w:val="21"/>
        </w:rPr>
      </w:pPr>
    </w:p>
    <w:sectPr w:rsidR="00A830A9" w:rsidRPr="005C1DD0" w:rsidSect="00A0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1A" w:rsidRDefault="00F83C1A" w:rsidP="00FD699E">
      <w:r>
        <w:separator/>
      </w:r>
    </w:p>
  </w:endnote>
  <w:endnote w:type="continuationSeparator" w:id="0">
    <w:p w:rsidR="00F83C1A" w:rsidRDefault="00F83C1A" w:rsidP="00FD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1A" w:rsidRDefault="00F83C1A" w:rsidP="00FD699E">
      <w:r>
        <w:separator/>
      </w:r>
    </w:p>
  </w:footnote>
  <w:footnote w:type="continuationSeparator" w:id="0">
    <w:p w:rsidR="00F83C1A" w:rsidRDefault="00F83C1A" w:rsidP="00FD6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F0D"/>
    <w:rsid w:val="00003972"/>
    <w:rsid w:val="00103A5B"/>
    <w:rsid w:val="001052F5"/>
    <w:rsid w:val="00124A0C"/>
    <w:rsid w:val="00176F0D"/>
    <w:rsid w:val="001E4BBE"/>
    <w:rsid w:val="002878BB"/>
    <w:rsid w:val="002F706D"/>
    <w:rsid w:val="00361B5D"/>
    <w:rsid w:val="00382D48"/>
    <w:rsid w:val="00407970"/>
    <w:rsid w:val="004364A1"/>
    <w:rsid w:val="004A656F"/>
    <w:rsid w:val="004B66AC"/>
    <w:rsid w:val="00580D4F"/>
    <w:rsid w:val="005C1DD0"/>
    <w:rsid w:val="00642CBD"/>
    <w:rsid w:val="00726E46"/>
    <w:rsid w:val="00772487"/>
    <w:rsid w:val="00805B3C"/>
    <w:rsid w:val="0083768A"/>
    <w:rsid w:val="008A51A8"/>
    <w:rsid w:val="009010B1"/>
    <w:rsid w:val="009977F8"/>
    <w:rsid w:val="009A4AA7"/>
    <w:rsid w:val="00A05DEE"/>
    <w:rsid w:val="00A830A9"/>
    <w:rsid w:val="00AB17FB"/>
    <w:rsid w:val="00B07CE8"/>
    <w:rsid w:val="00BC12E5"/>
    <w:rsid w:val="00C9621B"/>
    <w:rsid w:val="00E255A2"/>
    <w:rsid w:val="00F83C1A"/>
    <w:rsid w:val="00FA67A0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07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00">
    <w:name w:val="a0"/>
    <w:basedOn w:val="a0"/>
    <w:rsid w:val="00407970"/>
  </w:style>
  <w:style w:type="paragraph" w:customStyle="1" w:styleId="a-a7-br">
    <w:name w:val="a-a7-br"/>
    <w:basedOn w:val="a"/>
    <w:rsid w:val="00407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8A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D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69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6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6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fund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</dc:creator>
  <cp:keywords/>
  <dc:description/>
  <cp:lastModifiedBy>ZHONGM</cp:lastModifiedBy>
  <cp:revision>2</cp:revision>
  <dcterms:created xsi:type="dcterms:W3CDTF">2022-07-27T16:00:00Z</dcterms:created>
  <dcterms:modified xsi:type="dcterms:W3CDTF">2022-07-27T16:00:00Z</dcterms:modified>
</cp:coreProperties>
</file>