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827" w:rsidRPr="00921E7C" w:rsidRDefault="00E67827" w:rsidP="00E67827">
      <w:pPr>
        <w:jc w:val="center"/>
        <w:rPr>
          <w:rFonts w:ascii="黑体" w:eastAsia="黑体" w:hAnsi="黑体"/>
          <w:sz w:val="36"/>
          <w:szCs w:val="44"/>
        </w:rPr>
      </w:pPr>
      <w:r w:rsidRPr="00921E7C">
        <w:rPr>
          <w:rFonts w:ascii="黑体" w:eastAsia="黑体" w:hAnsi="黑体" w:hint="eastAsia"/>
          <w:sz w:val="36"/>
          <w:szCs w:val="44"/>
        </w:rPr>
        <w:t>新疆前海联合基金管理有限公司关于新疆前海联合泳</w:t>
      </w:r>
      <w:bookmarkStart w:id="0" w:name="_GoBack"/>
      <w:bookmarkEnd w:id="0"/>
      <w:r w:rsidRPr="00921E7C">
        <w:rPr>
          <w:rFonts w:ascii="黑体" w:eastAsia="黑体" w:hAnsi="黑体" w:hint="eastAsia"/>
          <w:sz w:val="36"/>
          <w:szCs w:val="44"/>
        </w:rPr>
        <w:t>嘉纯债债券型证券投资基金基金份额持有人大会表决结果暨决议生效的公告</w:t>
      </w:r>
    </w:p>
    <w:p w:rsidR="00E67827" w:rsidRPr="00921E7C" w:rsidRDefault="00E67827" w:rsidP="00E67827">
      <w:pPr>
        <w:jc w:val="center"/>
        <w:rPr>
          <w:rFonts w:ascii="仿宋" w:eastAsia="仿宋" w:hAnsi="仿宋"/>
          <w:sz w:val="32"/>
          <w:szCs w:val="32"/>
        </w:rPr>
      </w:pPr>
    </w:p>
    <w:p w:rsidR="00E67827" w:rsidRPr="00921E7C" w:rsidRDefault="00B456EA" w:rsidP="00E67827">
      <w:pPr>
        <w:ind w:firstLine="645"/>
        <w:jc w:val="left"/>
        <w:rPr>
          <w:rFonts w:ascii="仿宋" w:eastAsia="仿宋" w:hAnsi="仿宋"/>
          <w:sz w:val="32"/>
          <w:szCs w:val="32"/>
        </w:rPr>
      </w:pPr>
      <w:r>
        <w:rPr>
          <w:rFonts w:ascii="仿宋" w:eastAsia="仿宋" w:hAnsi="仿宋" w:hint="eastAsia"/>
          <w:sz w:val="32"/>
          <w:szCs w:val="32"/>
        </w:rPr>
        <w:t>依据《中华人民共和国证券投资基金法》</w:t>
      </w:r>
      <w:r w:rsidR="00E67827" w:rsidRPr="00921E7C">
        <w:rPr>
          <w:rFonts w:ascii="仿宋" w:eastAsia="仿宋" w:hAnsi="仿宋" w:hint="eastAsia"/>
          <w:sz w:val="32"/>
          <w:szCs w:val="32"/>
        </w:rPr>
        <w:t>《公开募集证券投资基金运作管理办法》和《新疆前海联合泳嘉纯债债券型证券投资基金基金合同》的有关规定，现将新疆前海联合泳嘉纯债债券型证券投资基金（以下简称“本基金”）基金份额持有人大会的表决结果、决议及相关事项公告如下：</w:t>
      </w:r>
    </w:p>
    <w:p w:rsidR="00E67827" w:rsidRPr="00921E7C" w:rsidRDefault="00E67827" w:rsidP="00E67827">
      <w:pPr>
        <w:ind w:firstLine="645"/>
        <w:jc w:val="left"/>
        <w:rPr>
          <w:rFonts w:ascii="仿宋" w:eastAsia="仿宋" w:hAnsi="仿宋"/>
          <w:b/>
          <w:sz w:val="32"/>
          <w:szCs w:val="32"/>
        </w:rPr>
      </w:pPr>
      <w:r w:rsidRPr="00921E7C">
        <w:rPr>
          <w:rFonts w:ascii="仿宋" w:eastAsia="仿宋" w:hAnsi="仿宋" w:hint="eastAsia"/>
          <w:b/>
          <w:sz w:val="32"/>
          <w:szCs w:val="32"/>
        </w:rPr>
        <w:t>一、本次基金份额持有人大会会议情况</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新疆前海联合泳嘉纯债债券型证券投资基金以通讯方式召开了基金份额持有人大会，会议审议了《</w:t>
      </w:r>
      <w:r w:rsidR="00445B57" w:rsidRPr="00445B57">
        <w:rPr>
          <w:rFonts w:ascii="仿宋" w:eastAsia="仿宋" w:hAnsi="仿宋" w:hint="eastAsia"/>
          <w:sz w:val="32"/>
          <w:szCs w:val="32"/>
        </w:rPr>
        <w:t>关于终止新疆前海联合泳嘉纯债债券型证券投资基金基金合同相关事项的议案</w:t>
      </w:r>
      <w:r w:rsidRPr="00921E7C">
        <w:rPr>
          <w:rFonts w:ascii="仿宋" w:eastAsia="仿宋" w:hAnsi="仿宋" w:hint="eastAsia"/>
          <w:sz w:val="32"/>
          <w:szCs w:val="32"/>
        </w:rPr>
        <w:t>》，并由参加大会且有表决权的基金份额持有人及其代理人对上述会议议案分别进行表决。</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大会表决投票时间自</w:t>
      </w:r>
      <w:r w:rsidR="00445B57" w:rsidRPr="00921E7C">
        <w:rPr>
          <w:rFonts w:ascii="仿宋" w:eastAsia="仿宋" w:hAnsi="仿宋"/>
          <w:sz w:val="32"/>
          <w:szCs w:val="32"/>
        </w:rPr>
        <w:t>20</w:t>
      </w:r>
      <w:r w:rsidR="00445B57" w:rsidRPr="00921E7C">
        <w:rPr>
          <w:rFonts w:ascii="仿宋" w:eastAsia="仿宋" w:hAnsi="仿宋" w:hint="eastAsia"/>
          <w:sz w:val="32"/>
          <w:szCs w:val="32"/>
        </w:rPr>
        <w:t>22</w:t>
      </w:r>
      <w:r w:rsidR="00445B57" w:rsidRPr="00921E7C">
        <w:rPr>
          <w:rFonts w:ascii="仿宋" w:eastAsia="仿宋" w:hAnsi="仿宋"/>
          <w:sz w:val="32"/>
          <w:szCs w:val="32"/>
        </w:rPr>
        <w:t>年</w:t>
      </w:r>
      <w:r w:rsidR="00445B57">
        <w:rPr>
          <w:rFonts w:ascii="仿宋" w:eastAsia="仿宋" w:hAnsi="仿宋" w:hint="eastAsia"/>
          <w:sz w:val="32"/>
          <w:szCs w:val="32"/>
        </w:rPr>
        <w:t>6</w:t>
      </w:r>
      <w:r w:rsidRPr="00921E7C">
        <w:rPr>
          <w:rFonts w:ascii="仿宋" w:eastAsia="仿宋" w:hAnsi="仿宋"/>
          <w:sz w:val="32"/>
          <w:szCs w:val="32"/>
        </w:rPr>
        <w:t>月</w:t>
      </w:r>
      <w:r w:rsidR="00445B57">
        <w:rPr>
          <w:rFonts w:ascii="仿宋" w:eastAsia="仿宋" w:hAnsi="仿宋" w:hint="eastAsia"/>
          <w:sz w:val="32"/>
          <w:szCs w:val="32"/>
        </w:rPr>
        <w:t>25</w:t>
      </w:r>
      <w:r w:rsidRPr="00921E7C">
        <w:rPr>
          <w:rFonts w:ascii="仿宋" w:eastAsia="仿宋" w:hAnsi="仿宋"/>
          <w:sz w:val="32"/>
          <w:szCs w:val="32"/>
        </w:rPr>
        <w:t>日</w:t>
      </w:r>
      <w:r w:rsidRPr="00921E7C">
        <w:rPr>
          <w:rFonts w:ascii="仿宋" w:eastAsia="仿宋" w:hAnsi="仿宋" w:hint="eastAsia"/>
          <w:sz w:val="32"/>
          <w:szCs w:val="32"/>
        </w:rPr>
        <w:t>起，至</w:t>
      </w:r>
      <w:r w:rsidR="00445B57" w:rsidRPr="00921E7C">
        <w:rPr>
          <w:rFonts w:ascii="仿宋" w:eastAsia="仿宋" w:hAnsi="仿宋"/>
          <w:sz w:val="32"/>
          <w:szCs w:val="32"/>
        </w:rPr>
        <w:t>20</w:t>
      </w:r>
      <w:r w:rsidR="00445B57" w:rsidRPr="00921E7C">
        <w:rPr>
          <w:rFonts w:ascii="仿宋" w:eastAsia="仿宋" w:hAnsi="仿宋" w:hint="eastAsia"/>
          <w:sz w:val="32"/>
          <w:szCs w:val="32"/>
        </w:rPr>
        <w:t>22</w:t>
      </w:r>
      <w:r w:rsidR="00445B57" w:rsidRPr="00921E7C">
        <w:rPr>
          <w:rFonts w:ascii="仿宋" w:eastAsia="仿宋" w:hAnsi="仿宋"/>
          <w:sz w:val="32"/>
          <w:szCs w:val="32"/>
        </w:rPr>
        <w:t>年</w:t>
      </w:r>
      <w:r w:rsidR="00445B57">
        <w:rPr>
          <w:rFonts w:ascii="仿宋" w:eastAsia="仿宋" w:hAnsi="仿宋" w:hint="eastAsia"/>
          <w:sz w:val="32"/>
          <w:szCs w:val="32"/>
        </w:rPr>
        <w:t>7</w:t>
      </w:r>
      <w:r w:rsidRPr="00921E7C">
        <w:rPr>
          <w:rFonts w:ascii="仿宋" w:eastAsia="仿宋" w:hAnsi="仿宋"/>
          <w:sz w:val="32"/>
          <w:szCs w:val="32"/>
        </w:rPr>
        <w:t>月</w:t>
      </w:r>
      <w:r w:rsidR="00445B57">
        <w:rPr>
          <w:rFonts w:ascii="仿宋" w:eastAsia="仿宋" w:hAnsi="仿宋" w:hint="eastAsia"/>
          <w:sz w:val="32"/>
          <w:szCs w:val="32"/>
        </w:rPr>
        <w:t>25</w:t>
      </w:r>
      <w:r w:rsidRPr="00921E7C">
        <w:rPr>
          <w:rFonts w:ascii="仿宋" w:eastAsia="仿宋" w:hAnsi="仿宋"/>
          <w:sz w:val="32"/>
          <w:szCs w:val="32"/>
        </w:rPr>
        <w:t>日</w:t>
      </w:r>
      <w:r w:rsidRPr="00921E7C">
        <w:rPr>
          <w:rFonts w:ascii="仿宋" w:eastAsia="仿宋" w:hAnsi="仿宋" w:hint="eastAsia"/>
          <w:sz w:val="32"/>
          <w:szCs w:val="32"/>
        </w:rPr>
        <w:t>17:00止（送达时间以本基金管理人收到表决票时间为准）。此次基金份额持有人大会的计票于</w:t>
      </w:r>
      <w:r w:rsidR="00445B57" w:rsidRPr="00921E7C">
        <w:rPr>
          <w:rFonts w:ascii="仿宋" w:eastAsia="仿宋" w:hAnsi="仿宋" w:hint="eastAsia"/>
          <w:sz w:val="32"/>
          <w:szCs w:val="32"/>
        </w:rPr>
        <w:t>2022</w:t>
      </w:r>
      <w:r w:rsidR="00445B57" w:rsidRPr="00921E7C">
        <w:rPr>
          <w:rFonts w:ascii="仿宋" w:eastAsia="仿宋" w:hAnsi="仿宋"/>
          <w:sz w:val="32"/>
          <w:szCs w:val="32"/>
        </w:rPr>
        <w:t>年</w:t>
      </w:r>
      <w:r w:rsidR="00445B57">
        <w:rPr>
          <w:rFonts w:ascii="仿宋" w:eastAsia="仿宋" w:hAnsi="仿宋" w:hint="eastAsia"/>
          <w:sz w:val="32"/>
          <w:szCs w:val="32"/>
        </w:rPr>
        <w:t>7</w:t>
      </w:r>
      <w:r w:rsidRPr="00921E7C">
        <w:rPr>
          <w:rFonts w:ascii="仿宋" w:eastAsia="仿宋" w:hAnsi="仿宋"/>
          <w:sz w:val="32"/>
          <w:szCs w:val="32"/>
        </w:rPr>
        <w:t>月</w:t>
      </w:r>
      <w:r w:rsidR="00445B57">
        <w:rPr>
          <w:rFonts w:ascii="仿宋" w:eastAsia="仿宋" w:hAnsi="仿宋" w:hint="eastAsia"/>
          <w:sz w:val="32"/>
          <w:szCs w:val="32"/>
        </w:rPr>
        <w:t>26</w:t>
      </w:r>
      <w:r w:rsidRPr="00921E7C">
        <w:rPr>
          <w:rFonts w:ascii="仿宋" w:eastAsia="仿宋" w:hAnsi="仿宋"/>
          <w:sz w:val="32"/>
          <w:szCs w:val="32"/>
        </w:rPr>
        <w:t>日</w:t>
      </w:r>
      <w:r w:rsidRPr="00921E7C">
        <w:rPr>
          <w:rFonts w:ascii="仿宋" w:eastAsia="仿宋" w:hAnsi="仿宋" w:hint="eastAsia"/>
          <w:sz w:val="32"/>
          <w:szCs w:val="32"/>
        </w:rPr>
        <w:t>在本基金的托管人中国邮政储蓄银行股份有限公司授权代表的监督及上海源泰律师事务所律师的见证下进行，并由深圳市深圳公证处对计票过程及结果进行了公证。</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参会的基金份额持有人或其代理人所代表的基金份额</w:t>
      </w:r>
      <w:r w:rsidRPr="00921E7C">
        <w:rPr>
          <w:rFonts w:ascii="仿宋" w:eastAsia="仿宋" w:hAnsi="仿宋" w:hint="eastAsia"/>
          <w:sz w:val="32"/>
          <w:szCs w:val="32"/>
        </w:rPr>
        <w:lastRenderedPageBreak/>
        <w:t>为</w:t>
      </w:r>
      <w:r w:rsidR="00445B57" w:rsidRPr="00445B57">
        <w:rPr>
          <w:rFonts w:ascii="仿宋" w:eastAsia="仿宋" w:hAnsi="仿宋"/>
          <w:sz w:val="32"/>
          <w:szCs w:val="32"/>
        </w:rPr>
        <w:t>1,017,085.89</w:t>
      </w:r>
      <w:r w:rsidRPr="00921E7C">
        <w:rPr>
          <w:rFonts w:ascii="仿宋" w:eastAsia="仿宋" w:hAnsi="仿宋" w:hint="eastAsia"/>
          <w:sz w:val="32"/>
          <w:szCs w:val="32"/>
        </w:rPr>
        <w:t>份，占权益登记日（权益登记日为</w:t>
      </w:r>
      <w:r w:rsidRPr="00921E7C">
        <w:rPr>
          <w:rFonts w:ascii="仿宋" w:eastAsia="仿宋" w:hAnsi="仿宋"/>
          <w:sz w:val="32"/>
          <w:szCs w:val="32"/>
        </w:rPr>
        <w:t>20</w:t>
      </w:r>
      <w:r w:rsidRPr="00921E7C">
        <w:rPr>
          <w:rFonts w:ascii="仿宋" w:eastAsia="仿宋" w:hAnsi="仿宋" w:hint="eastAsia"/>
          <w:sz w:val="32"/>
          <w:szCs w:val="32"/>
        </w:rPr>
        <w:t>22</w:t>
      </w:r>
      <w:r w:rsidRPr="00921E7C">
        <w:rPr>
          <w:rFonts w:ascii="仿宋" w:eastAsia="仿宋" w:hAnsi="仿宋"/>
          <w:sz w:val="32"/>
          <w:szCs w:val="32"/>
        </w:rPr>
        <w:t>年</w:t>
      </w:r>
      <w:r w:rsidR="00445B57">
        <w:rPr>
          <w:rFonts w:ascii="仿宋" w:eastAsia="仿宋" w:hAnsi="仿宋" w:hint="eastAsia"/>
          <w:sz w:val="32"/>
          <w:szCs w:val="32"/>
        </w:rPr>
        <w:t>6</w:t>
      </w:r>
      <w:r w:rsidRPr="00921E7C">
        <w:rPr>
          <w:rFonts w:ascii="仿宋" w:eastAsia="仿宋" w:hAnsi="仿宋"/>
          <w:sz w:val="32"/>
          <w:szCs w:val="32"/>
        </w:rPr>
        <w:t>月</w:t>
      </w:r>
      <w:r w:rsidR="00445B57">
        <w:rPr>
          <w:rFonts w:ascii="仿宋" w:eastAsia="仿宋" w:hAnsi="仿宋" w:hint="eastAsia"/>
          <w:sz w:val="32"/>
          <w:szCs w:val="32"/>
        </w:rPr>
        <w:t>24</w:t>
      </w:r>
      <w:r w:rsidRPr="00921E7C">
        <w:rPr>
          <w:rFonts w:ascii="仿宋" w:eastAsia="仿宋" w:hAnsi="仿宋"/>
          <w:sz w:val="32"/>
          <w:szCs w:val="32"/>
        </w:rPr>
        <w:t>日</w:t>
      </w:r>
      <w:r w:rsidRPr="00921E7C">
        <w:rPr>
          <w:rFonts w:ascii="仿宋" w:eastAsia="仿宋" w:hAnsi="仿宋" w:hint="eastAsia"/>
          <w:sz w:val="32"/>
          <w:szCs w:val="32"/>
        </w:rPr>
        <w:t>）基金总份额的</w:t>
      </w:r>
      <w:r w:rsidRPr="00921E7C">
        <w:rPr>
          <w:rFonts w:ascii="仿宋" w:eastAsia="仿宋" w:hAnsi="仿宋"/>
          <w:sz w:val="32"/>
          <w:szCs w:val="32"/>
        </w:rPr>
        <w:t>99.</w:t>
      </w:r>
      <w:r>
        <w:rPr>
          <w:rFonts w:ascii="仿宋" w:eastAsia="仿宋" w:hAnsi="仿宋" w:hint="eastAsia"/>
          <w:sz w:val="32"/>
          <w:szCs w:val="32"/>
        </w:rPr>
        <w:t>53</w:t>
      </w:r>
      <w:r w:rsidRPr="00921E7C">
        <w:rPr>
          <w:rFonts w:ascii="仿宋" w:eastAsia="仿宋" w:hAnsi="仿宋" w:hint="eastAsia"/>
          <w:sz w:val="32"/>
          <w:szCs w:val="32"/>
        </w:rPr>
        <w:t>%，满足法定召开基金份额持有人大会的条件，符合《中华人民共和国证券投资基金法》、《公开募集证券投资基金运作管理办法》和《新疆前海联合泳嘉纯债债券型证券投资基金基金合同》的有关规定。</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对《</w:t>
      </w:r>
      <w:r w:rsidR="008A0B83" w:rsidRPr="0073519E">
        <w:rPr>
          <w:rFonts w:ascii="仿宋" w:eastAsia="仿宋" w:hAnsi="仿宋" w:hint="eastAsia"/>
          <w:sz w:val="32"/>
          <w:szCs w:val="28"/>
        </w:rPr>
        <w:t>关于终止新疆前海联合泳嘉纯债债券型证券投资基金基金合同相关事项的议案</w:t>
      </w:r>
      <w:r w:rsidRPr="00921E7C">
        <w:rPr>
          <w:rFonts w:ascii="仿宋" w:eastAsia="仿宋" w:hAnsi="仿宋" w:hint="eastAsia"/>
          <w:sz w:val="32"/>
          <w:szCs w:val="32"/>
        </w:rPr>
        <w:t>》的表决情况：“同意”该会议议案的基金份额为：</w:t>
      </w:r>
      <w:r w:rsidR="00445B57" w:rsidRPr="00445B57">
        <w:rPr>
          <w:rFonts w:ascii="仿宋" w:eastAsia="仿宋" w:hAnsi="仿宋"/>
          <w:sz w:val="32"/>
          <w:szCs w:val="32"/>
        </w:rPr>
        <w:t>1,017,085.89</w:t>
      </w:r>
      <w:r w:rsidRPr="00921E7C">
        <w:rPr>
          <w:rFonts w:ascii="仿宋" w:eastAsia="仿宋" w:hAnsi="仿宋" w:hint="eastAsia"/>
          <w:sz w:val="32"/>
          <w:szCs w:val="32"/>
        </w:rPr>
        <w:t>份，占出席大会基金总份额的</w:t>
      </w:r>
      <w:r w:rsidRPr="00921E7C">
        <w:rPr>
          <w:rFonts w:ascii="仿宋" w:eastAsia="仿宋" w:hAnsi="仿宋"/>
          <w:sz w:val="32"/>
          <w:szCs w:val="32"/>
        </w:rPr>
        <w:t>100%</w:t>
      </w:r>
      <w:r w:rsidRPr="00921E7C">
        <w:rPr>
          <w:rFonts w:ascii="仿宋" w:eastAsia="仿宋" w:hAnsi="仿宋" w:hint="eastAsia"/>
          <w:sz w:val="32"/>
          <w:szCs w:val="32"/>
        </w:rPr>
        <w:t>，“反对”的基金份额为</w:t>
      </w:r>
      <w:r w:rsidRPr="00921E7C">
        <w:rPr>
          <w:rFonts w:ascii="仿宋" w:eastAsia="仿宋" w:hAnsi="仿宋"/>
          <w:sz w:val="32"/>
          <w:szCs w:val="32"/>
        </w:rPr>
        <w:t>0份</w:t>
      </w:r>
      <w:r w:rsidRPr="00921E7C">
        <w:rPr>
          <w:rFonts w:ascii="仿宋" w:eastAsia="仿宋" w:hAnsi="仿宋" w:hint="eastAsia"/>
          <w:sz w:val="32"/>
          <w:szCs w:val="32"/>
        </w:rPr>
        <w:t>，“弃权”的基金份额为</w:t>
      </w:r>
      <w:r w:rsidRPr="00921E7C">
        <w:rPr>
          <w:rFonts w:ascii="仿宋" w:eastAsia="仿宋" w:hAnsi="仿宋"/>
          <w:sz w:val="32"/>
          <w:szCs w:val="32"/>
        </w:rPr>
        <w:t>0</w:t>
      </w:r>
      <w:r w:rsidRPr="00921E7C">
        <w:rPr>
          <w:rFonts w:ascii="仿宋" w:eastAsia="仿宋" w:hAnsi="仿宋" w:hint="eastAsia"/>
          <w:sz w:val="32"/>
          <w:szCs w:val="32"/>
        </w:rPr>
        <w:t>份。</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据此，同意上述会议议案的基金份额符合《中华人民共和国证券投资基金法》、《公开募集证券投资基金运作管理办法》和《新疆前海联合泳嘉纯债债券型证券投资基金基金合同》的有关规定，会议议案有效通过。</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本次基金份额持有人大会的公证费</w:t>
      </w:r>
      <w:r w:rsidRPr="00921E7C">
        <w:rPr>
          <w:rFonts w:ascii="仿宋" w:eastAsia="仿宋" w:hAnsi="仿宋"/>
          <w:sz w:val="32"/>
          <w:szCs w:val="32"/>
        </w:rPr>
        <w:t>10,000元，律师费</w:t>
      </w:r>
      <w:r w:rsidR="00445B57">
        <w:rPr>
          <w:rFonts w:ascii="仿宋" w:eastAsia="仿宋" w:hAnsi="仿宋" w:hint="eastAsia"/>
          <w:sz w:val="32"/>
          <w:szCs w:val="32"/>
        </w:rPr>
        <w:t>20</w:t>
      </w:r>
      <w:r w:rsidRPr="00921E7C">
        <w:rPr>
          <w:rFonts w:ascii="仿宋" w:eastAsia="仿宋" w:hAnsi="仿宋"/>
          <w:sz w:val="32"/>
          <w:szCs w:val="32"/>
        </w:rPr>
        <w:t>,000元，合计</w:t>
      </w:r>
      <w:r w:rsidR="00445B57">
        <w:rPr>
          <w:rFonts w:ascii="仿宋" w:eastAsia="仿宋" w:hAnsi="仿宋" w:hint="eastAsia"/>
          <w:sz w:val="32"/>
          <w:szCs w:val="32"/>
        </w:rPr>
        <w:t>30</w:t>
      </w:r>
      <w:r w:rsidRPr="00921E7C">
        <w:rPr>
          <w:rFonts w:ascii="仿宋" w:eastAsia="仿宋" w:hAnsi="仿宋"/>
          <w:sz w:val="32"/>
          <w:szCs w:val="32"/>
        </w:rPr>
        <w:t>,000元</w:t>
      </w:r>
      <w:r w:rsidRPr="00921E7C">
        <w:rPr>
          <w:rFonts w:ascii="仿宋" w:eastAsia="仿宋" w:hAnsi="仿宋" w:hint="eastAsia"/>
          <w:sz w:val="32"/>
          <w:szCs w:val="32"/>
        </w:rPr>
        <w:t>，由基金管理人公司财产承担。</w:t>
      </w:r>
    </w:p>
    <w:p w:rsidR="00E67827" w:rsidRPr="00921E7C" w:rsidRDefault="00E67827" w:rsidP="00E67827">
      <w:pPr>
        <w:ind w:firstLine="645"/>
        <w:rPr>
          <w:rFonts w:ascii="仿宋" w:eastAsia="仿宋" w:hAnsi="仿宋"/>
          <w:b/>
          <w:sz w:val="32"/>
          <w:szCs w:val="32"/>
        </w:rPr>
      </w:pPr>
      <w:r w:rsidRPr="00921E7C">
        <w:rPr>
          <w:rFonts w:ascii="仿宋" w:eastAsia="仿宋" w:hAnsi="仿宋" w:hint="eastAsia"/>
          <w:b/>
          <w:sz w:val="32"/>
          <w:szCs w:val="32"/>
        </w:rPr>
        <w:t>二、本次基金份额持有人大会决议的生效</w:t>
      </w:r>
    </w:p>
    <w:p w:rsidR="00E67827" w:rsidRDefault="00E67827" w:rsidP="00E67827">
      <w:pPr>
        <w:ind w:firstLine="645"/>
        <w:rPr>
          <w:rFonts w:ascii="仿宋" w:eastAsia="仿宋" w:hAnsi="仿宋"/>
          <w:sz w:val="32"/>
          <w:szCs w:val="32"/>
        </w:rPr>
      </w:pPr>
      <w:r w:rsidRPr="00921E7C">
        <w:rPr>
          <w:rFonts w:ascii="仿宋" w:eastAsia="仿宋" w:hAnsi="仿宋" w:hint="eastAsia"/>
          <w:sz w:val="32"/>
          <w:szCs w:val="32"/>
        </w:rPr>
        <w:t>根据《公开募集证券投资基金运作管理办法》的规定，基金份额持有人大会决议自表决通过之日起生效。本次基金份额持有人大会于</w:t>
      </w:r>
      <w:r w:rsidR="00445B57" w:rsidRPr="00921E7C">
        <w:rPr>
          <w:rFonts w:ascii="仿宋" w:eastAsia="仿宋" w:hAnsi="仿宋"/>
          <w:sz w:val="32"/>
          <w:szCs w:val="32"/>
        </w:rPr>
        <w:t>20</w:t>
      </w:r>
      <w:r w:rsidR="00445B57" w:rsidRPr="00921E7C">
        <w:rPr>
          <w:rFonts w:ascii="仿宋" w:eastAsia="仿宋" w:hAnsi="仿宋" w:hint="eastAsia"/>
          <w:sz w:val="32"/>
          <w:szCs w:val="32"/>
        </w:rPr>
        <w:t>22</w:t>
      </w:r>
      <w:r w:rsidR="00445B57" w:rsidRPr="00921E7C">
        <w:rPr>
          <w:rFonts w:ascii="仿宋" w:eastAsia="仿宋" w:hAnsi="仿宋"/>
          <w:sz w:val="32"/>
          <w:szCs w:val="32"/>
        </w:rPr>
        <w:t>年</w:t>
      </w:r>
      <w:r w:rsidR="00445B57">
        <w:rPr>
          <w:rFonts w:ascii="仿宋" w:eastAsia="仿宋" w:hAnsi="仿宋" w:hint="eastAsia"/>
          <w:sz w:val="32"/>
          <w:szCs w:val="32"/>
        </w:rPr>
        <w:t>7</w:t>
      </w:r>
      <w:r w:rsidRPr="00921E7C">
        <w:rPr>
          <w:rFonts w:ascii="仿宋" w:eastAsia="仿宋" w:hAnsi="仿宋"/>
          <w:sz w:val="32"/>
          <w:szCs w:val="32"/>
        </w:rPr>
        <w:t>月</w:t>
      </w:r>
      <w:r w:rsidR="00445B57">
        <w:rPr>
          <w:rFonts w:ascii="仿宋" w:eastAsia="仿宋" w:hAnsi="仿宋" w:hint="eastAsia"/>
          <w:sz w:val="32"/>
          <w:szCs w:val="32"/>
        </w:rPr>
        <w:t>26</w:t>
      </w:r>
      <w:r w:rsidRPr="00921E7C">
        <w:rPr>
          <w:rFonts w:ascii="仿宋" w:eastAsia="仿宋" w:hAnsi="仿宋"/>
          <w:sz w:val="32"/>
          <w:szCs w:val="32"/>
        </w:rPr>
        <w:t>日</w:t>
      </w:r>
      <w:r w:rsidRPr="00921E7C">
        <w:rPr>
          <w:rFonts w:ascii="仿宋" w:eastAsia="仿宋" w:hAnsi="仿宋" w:hint="eastAsia"/>
          <w:sz w:val="32"/>
          <w:szCs w:val="32"/>
        </w:rPr>
        <w:t>表决通过了《</w:t>
      </w:r>
      <w:r w:rsidR="00445B57" w:rsidRPr="00445B57">
        <w:rPr>
          <w:rFonts w:ascii="仿宋" w:eastAsia="仿宋" w:hAnsi="仿宋" w:hint="eastAsia"/>
          <w:sz w:val="32"/>
          <w:szCs w:val="32"/>
        </w:rPr>
        <w:t>关于终止新疆前海联合泳嘉纯债债券型证券投资基金基金合同相关事项的议案</w:t>
      </w:r>
      <w:r w:rsidRPr="00921E7C">
        <w:rPr>
          <w:rFonts w:ascii="仿宋" w:eastAsia="仿宋" w:hAnsi="仿宋" w:hint="eastAsia"/>
          <w:sz w:val="32"/>
          <w:szCs w:val="32"/>
        </w:rPr>
        <w:t>》，本次大会决议自该日起生效。基金管理人将自基金份额持有人大会决议通过之日起五日内将表决通过</w:t>
      </w:r>
      <w:r w:rsidRPr="00921E7C">
        <w:rPr>
          <w:rFonts w:ascii="仿宋" w:eastAsia="仿宋" w:hAnsi="仿宋" w:hint="eastAsia"/>
          <w:sz w:val="32"/>
          <w:szCs w:val="32"/>
        </w:rPr>
        <w:lastRenderedPageBreak/>
        <w:t>的事项报中国证券监督管理委员会备案。</w:t>
      </w:r>
    </w:p>
    <w:p w:rsidR="006A7032" w:rsidRPr="006A7032" w:rsidRDefault="006A7032" w:rsidP="006A7032">
      <w:pPr>
        <w:ind w:firstLine="645"/>
        <w:rPr>
          <w:rFonts w:ascii="仿宋" w:eastAsia="仿宋" w:hAnsi="仿宋"/>
          <w:sz w:val="32"/>
          <w:szCs w:val="32"/>
        </w:rPr>
      </w:pPr>
      <w:r w:rsidRPr="006A7032">
        <w:rPr>
          <w:rFonts w:ascii="仿宋" w:eastAsia="仿宋" w:hAnsi="仿宋" w:hint="eastAsia"/>
          <w:sz w:val="32"/>
          <w:szCs w:val="32"/>
        </w:rPr>
        <w:t>三、《新疆前海联合</w:t>
      </w:r>
      <w:r w:rsidR="00445B57">
        <w:rPr>
          <w:rFonts w:ascii="仿宋" w:eastAsia="仿宋" w:hAnsi="仿宋" w:hint="eastAsia"/>
          <w:sz w:val="32"/>
          <w:szCs w:val="32"/>
        </w:rPr>
        <w:t>泳嘉</w:t>
      </w:r>
      <w:r w:rsidRPr="006A7032">
        <w:rPr>
          <w:rFonts w:ascii="仿宋" w:eastAsia="仿宋" w:hAnsi="仿宋" w:hint="eastAsia"/>
          <w:sz w:val="32"/>
          <w:szCs w:val="32"/>
        </w:rPr>
        <w:t>纯债债券型证券投资基金基金合同》终止的后续安排</w:t>
      </w:r>
    </w:p>
    <w:p w:rsidR="006A7032" w:rsidRPr="006A7032" w:rsidRDefault="006A7032" w:rsidP="006A7032">
      <w:pPr>
        <w:ind w:firstLine="645"/>
        <w:rPr>
          <w:rFonts w:ascii="仿宋" w:eastAsia="仿宋" w:hAnsi="仿宋"/>
          <w:sz w:val="32"/>
          <w:szCs w:val="32"/>
        </w:rPr>
      </w:pPr>
      <w:r w:rsidRPr="006A7032">
        <w:rPr>
          <w:rFonts w:ascii="仿宋" w:eastAsia="仿宋" w:hAnsi="仿宋" w:hint="eastAsia"/>
          <w:sz w:val="32"/>
          <w:szCs w:val="32"/>
        </w:rPr>
        <w:t>本次基金份额持有人大会决议生效后，根据基金份额持有人大会通过的本次会议议案及说明，持有人大会决议生效并公告后的下一个工作日起（2022年</w:t>
      </w:r>
      <w:r>
        <w:rPr>
          <w:rFonts w:ascii="仿宋" w:eastAsia="仿宋" w:hAnsi="仿宋" w:hint="eastAsia"/>
          <w:sz w:val="32"/>
          <w:szCs w:val="32"/>
        </w:rPr>
        <w:t>7</w:t>
      </w:r>
      <w:r w:rsidRPr="006A7032">
        <w:rPr>
          <w:rFonts w:ascii="仿宋" w:eastAsia="仿宋" w:hAnsi="仿宋" w:hint="eastAsia"/>
          <w:sz w:val="32"/>
          <w:szCs w:val="32"/>
        </w:rPr>
        <w:t>月</w:t>
      </w:r>
      <w:r>
        <w:rPr>
          <w:rFonts w:ascii="仿宋" w:eastAsia="仿宋" w:hAnsi="仿宋" w:hint="eastAsia"/>
          <w:sz w:val="32"/>
          <w:szCs w:val="32"/>
        </w:rPr>
        <w:t>28</w:t>
      </w:r>
      <w:r w:rsidRPr="006A7032">
        <w:rPr>
          <w:rFonts w:ascii="仿宋" w:eastAsia="仿宋" w:hAnsi="仿宋" w:hint="eastAsia"/>
          <w:sz w:val="32"/>
          <w:szCs w:val="32"/>
        </w:rPr>
        <w:t>日），本基金即进入财产清算程序。本基金进入清算程序后，基金管理人不接受投资者提出的份额申购、赎回及转换申请等业务，本基金停止收取基金管理费、基金托管费和C类基金份额的销售服务费。</w:t>
      </w:r>
    </w:p>
    <w:p w:rsidR="006A7032" w:rsidRPr="00921E7C" w:rsidRDefault="006A7032" w:rsidP="006A7032">
      <w:pPr>
        <w:ind w:firstLine="645"/>
        <w:rPr>
          <w:rFonts w:ascii="仿宋" w:eastAsia="仿宋" w:hAnsi="仿宋"/>
          <w:sz w:val="32"/>
          <w:szCs w:val="32"/>
        </w:rPr>
      </w:pPr>
      <w:r w:rsidRPr="006A7032">
        <w:rPr>
          <w:rFonts w:ascii="仿宋" w:eastAsia="仿宋" w:hAnsi="仿宋" w:hint="eastAsia"/>
          <w:sz w:val="32"/>
          <w:szCs w:val="32"/>
        </w:rPr>
        <w:t>本基金将根据《新疆前海联合</w:t>
      </w:r>
      <w:r w:rsidR="00445B57">
        <w:rPr>
          <w:rFonts w:ascii="仿宋" w:eastAsia="仿宋" w:hAnsi="仿宋" w:hint="eastAsia"/>
          <w:sz w:val="32"/>
          <w:szCs w:val="32"/>
        </w:rPr>
        <w:t>泳嘉</w:t>
      </w:r>
      <w:r w:rsidRPr="006A7032">
        <w:rPr>
          <w:rFonts w:ascii="仿宋" w:eastAsia="仿宋" w:hAnsi="仿宋" w:hint="eastAsia"/>
          <w:sz w:val="32"/>
          <w:szCs w:val="32"/>
        </w:rPr>
        <w:t>纯债债券型证券投资基金基金合同》中有关基金财产清算的规定，成立基金财产清算小组，进行财产清算，并按规定进行公告。</w:t>
      </w:r>
    </w:p>
    <w:p w:rsidR="00E67827" w:rsidRPr="00921E7C" w:rsidRDefault="006A7032" w:rsidP="00E67827">
      <w:pPr>
        <w:ind w:firstLine="645"/>
        <w:rPr>
          <w:rFonts w:ascii="仿宋" w:eastAsia="仿宋" w:hAnsi="仿宋"/>
          <w:b/>
          <w:bCs/>
          <w:sz w:val="32"/>
          <w:szCs w:val="32"/>
        </w:rPr>
      </w:pPr>
      <w:r>
        <w:rPr>
          <w:rFonts w:ascii="仿宋" w:eastAsia="仿宋" w:hAnsi="仿宋" w:hint="eastAsia"/>
          <w:b/>
          <w:sz w:val="32"/>
          <w:szCs w:val="32"/>
        </w:rPr>
        <w:t>四</w:t>
      </w:r>
      <w:r w:rsidR="00E67827" w:rsidRPr="00921E7C">
        <w:rPr>
          <w:rFonts w:ascii="仿宋" w:eastAsia="仿宋" w:hAnsi="仿宋" w:hint="eastAsia"/>
          <w:b/>
          <w:bCs/>
          <w:sz w:val="32"/>
          <w:szCs w:val="32"/>
        </w:rPr>
        <w:t>、备查文件</w:t>
      </w:r>
    </w:p>
    <w:p w:rsidR="00E67827" w:rsidRPr="00921E7C" w:rsidRDefault="00E67827" w:rsidP="00E6683F">
      <w:pPr>
        <w:ind w:firstLine="645"/>
        <w:rPr>
          <w:rFonts w:ascii="仿宋" w:eastAsia="仿宋" w:hAnsi="仿宋"/>
          <w:bCs/>
          <w:sz w:val="32"/>
          <w:szCs w:val="32"/>
        </w:rPr>
      </w:pPr>
      <w:r w:rsidRPr="00921E7C">
        <w:rPr>
          <w:rFonts w:ascii="仿宋" w:eastAsia="仿宋" w:hAnsi="仿宋" w:hint="eastAsia"/>
          <w:bCs/>
          <w:sz w:val="32"/>
          <w:szCs w:val="32"/>
        </w:rPr>
        <w:t>1、《</w:t>
      </w:r>
      <w:r w:rsidR="00E6683F" w:rsidRPr="00E6683F">
        <w:rPr>
          <w:rFonts w:ascii="仿宋" w:eastAsia="仿宋" w:hAnsi="仿宋" w:hint="eastAsia"/>
          <w:bCs/>
          <w:sz w:val="32"/>
          <w:szCs w:val="32"/>
        </w:rPr>
        <w:t>新疆前海联合基金管理有限公司关于以通讯方式召开新疆前海联合泳嘉纯债债券型证券投资基金基金份额持有人大会的公告</w:t>
      </w:r>
      <w:r w:rsidRPr="00921E7C">
        <w:rPr>
          <w:rFonts w:ascii="仿宋" w:eastAsia="仿宋" w:hAnsi="仿宋" w:hint="eastAsia"/>
          <w:bCs/>
          <w:sz w:val="32"/>
          <w:szCs w:val="32"/>
        </w:rPr>
        <w:t>》</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2、《新疆前海联合基金管理有限公司关于以通讯方式召开新疆前海联合泳嘉纯债债券型证券投资基金基金份额持有人大会的第一次提示性公告》</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3、《新疆前海联合基金管理有限公司关于以通讯方式召开新疆前海联合泳嘉纯债债券型证券投资基金基金份额持有人大会的第二次提示性公告》</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4、《公证书》</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5、《上海源泰律师事务所关于新疆前海联合泳嘉纯债债券型证券投资基金基金份额持有人大会之法律意见书》</w:t>
      </w:r>
    </w:p>
    <w:p w:rsidR="00E67827" w:rsidRPr="00921E7C" w:rsidRDefault="00E67827" w:rsidP="00E67827">
      <w:pPr>
        <w:ind w:firstLine="645"/>
        <w:rPr>
          <w:rFonts w:ascii="仿宋" w:eastAsia="仿宋" w:hAnsi="仿宋"/>
          <w:sz w:val="32"/>
          <w:szCs w:val="32"/>
        </w:rPr>
      </w:pPr>
      <w:r w:rsidRPr="00921E7C">
        <w:rPr>
          <w:rFonts w:ascii="仿宋" w:eastAsia="仿宋" w:hAnsi="仿宋" w:hint="eastAsia"/>
          <w:sz w:val="32"/>
          <w:szCs w:val="32"/>
        </w:rPr>
        <w:t>特此公告。</w:t>
      </w:r>
    </w:p>
    <w:p w:rsidR="00E67827" w:rsidRPr="00921E7C" w:rsidRDefault="00E67827" w:rsidP="00E67827">
      <w:pPr>
        <w:ind w:firstLine="645"/>
        <w:rPr>
          <w:rFonts w:ascii="仿宋" w:eastAsia="仿宋" w:hAnsi="仿宋"/>
          <w:sz w:val="32"/>
          <w:szCs w:val="32"/>
        </w:rPr>
      </w:pPr>
    </w:p>
    <w:p w:rsidR="00E67827" w:rsidRPr="00921E7C" w:rsidRDefault="00E67827" w:rsidP="00E67827">
      <w:pPr>
        <w:ind w:firstLine="645"/>
        <w:rPr>
          <w:rFonts w:ascii="仿宋" w:eastAsia="仿宋" w:hAnsi="仿宋"/>
          <w:sz w:val="32"/>
          <w:szCs w:val="32"/>
        </w:rPr>
      </w:pPr>
    </w:p>
    <w:p w:rsidR="00E67827" w:rsidRPr="00921E7C" w:rsidRDefault="00E67827" w:rsidP="00E67827">
      <w:pPr>
        <w:ind w:firstLine="645"/>
        <w:jc w:val="right"/>
        <w:rPr>
          <w:rFonts w:ascii="仿宋" w:eastAsia="仿宋" w:hAnsi="仿宋"/>
          <w:sz w:val="32"/>
          <w:szCs w:val="32"/>
        </w:rPr>
      </w:pPr>
      <w:r w:rsidRPr="00921E7C">
        <w:rPr>
          <w:rFonts w:ascii="仿宋" w:eastAsia="仿宋" w:hAnsi="仿宋" w:hint="eastAsia"/>
          <w:sz w:val="32"/>
          <w:szCs w:val="32"/>
        </w:rPr>
        <w:t>新疆前海联合基金管理有限公司</w:t>
      </w:r>
    </w:p>
    <w:p w:rsidR="00E67827" w:rsidRPr="00921E7C" w:rsidRDefault="00E67827" w:rsidP="00E67827">
      <w:pPr>
        <w:ind w:right="480" w:firstLine="645"/>
        <w:jc w:val="right"/>
        <w:rPr>
          <w:rFonts w:ascii="仿宋" w:eastAsia="仿宋" w:hAnsi="仿宋"/>
          <w:sz w:val="32"/>
          <w:szCs w:val="32"/>
        </w:rPr>
      </w:pPr>
      <w:r w:rsidRPr="00921E7C">
        <w:rPr>
          <w:rFonts w:ascii="仿宋" w:eastAsia="仿宋" w:hAnsi="仿宋" w:hint="eastAsia"/>
          <w:sz w:val="32"/>
          <w:szCs w:val="32"/>
        </w:rPr>
        <w:t>二〇二二年</w:t>
      </w:r>
      <w:r w:rsidR="00445B57">
        <w:rPr>
          <w:rFonts w:ascii="仿宋" w:eastAsia="仿宋" w:hAnsi="仿宋" w:hint="eastAsia"/>
          <w:sz w:val="32"/>
          <w:szCs w:val="32"/>
        </w:rPr>
        <w:t>七</w:t>
      </w:r>
      <w:r w:rsidRPr="00921E7C">
        <w:rPr>
          <w:rFonts w:ascii="仿宋" w:eastAsia="仿宋" w:hAnsi="仿宋" w:hint="eastAsia"/>
          <w:sz w:val="32"/>
          <w:szCs w:val="32"/>
        </w:rPr>
        <w:t>月二</w:t>
      </w:r>
      <w:r w:rsidR="00445B57">
        <w:rPr>
          <w:rFonts w:ascii="仿宋" w:eastAsia="仿宋" w:hAnsi="仿宋" w:hint="eastAsia"/>
          <w:sz w:val="32"/>
          <w:szCs w:val="32"/>
        </w:rPr>
        <w:t>十七</w:t>
      </w:r>
      <w:r w:rsidRPr="00921E7C">
        <w:rPr>
          <w:rFonts w:ascii="仿宋" w:eastAsia="仿宋" w:hAnsi="仿宋" w:hint="eastAsia"/>
          <w:sz w:val="32"/>
          <w:szCs w:val="32"/>
        </w:rPr>
        <w:t>日</w:t>
      </w:r>
    </w:p>
    <w:p w:rsidR="00CC183B" w:rsidRDefault="00CC183B"/>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B456EA" w:rsidRDefault="00B456EA"/>
    <w:p w:rsidR="00EE44C3" w:rsidRDefault="00EE44C3"/>
    <w:p w:rsidR="00EE44C3" w:rsidRDefault="00EE44C3"/>
    <w:p w:rsidR="00EE44C3" w:rsidRDefault="00EE44C3"/>
    <w:p w:rsidR="00EE44C3" w:rsidRDefault="00EE44C3"/>
    <w:p w:rsidR="00EE44C3" w:rsidRDefault="00C42968">
      <w:r>
        <w:rPr>
          <w:noProof/>
        </w:rPr>
        <w:pict>
          <v:rect id="矩形 4" o:spid="_x0000_s1026" style="position:absolute;left:0;text-align:left;margin-left:246.75pt;margin-top:252.75pt;width:108.7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" fillcolor="windowText" strokeweight="2pt"/>
        </w:pict>
      </w:r>
      <w:r>
        <w:rPr>
          <w:noProof/>
        </w:rPr>
        <w:pict>
          <v:rect id="矩形 6" o:spid="_x0000_s1027" style="position:absolute;left:0;text-align:left;margin-left:57.75pt;margin-top:233.25pt;width:108.7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" fillcolor="windowText" strokeweight="2pt"/>
        </w:pict>
      </w:r>
      <w:r w:rsidR="00B022BF">
        <w:rPr>
          <w:noProof/>
        </w:rPr>
        <w:drawing>
          <wp:inline distT="0" distB="0" distL="0" distR="0">
            <wp:extent cx="5274310" cy="7554961"/>
            <wp:effectExtent l="0" t="0" r="2540" b="8255"/>
            <wp:docPr id="1" name="图片 1" descr="D:\li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s\Desktop\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554961"/>
                    </a:xfrm>
                    <a:prstGeom prst="rect">
                      <a:avLst/>
                    </a:prstGeom>
                    <a:noFill/>
                    <a:ln>
                      <a:noFill/>
                    </a:ln>
                  </pic:spPr>
                </pic:pic>
              </a:graphicData>
            </a:graphic>
          </wp:inline>
        </w:drawing>
      </w:r>
    </w:p>
    <w:p w:rsidR="00B022BF" w:rsidRDefault="00B022BF">
      <w:r>
        <w:rPr>
          <w:noProof/>
        </w:rPr>
        <w:drawing>
          <wp:inline distT="0" distB="0" distL="0" distR="0">
            <wp:extent cx="5274310" cy="7572613"/>
            <wp:effectExtent l="0" t="0" r="2540" b="9525"/>
            <wp:docPr id="2" name="图片 2" descr="D:\li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s\Desktop\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572613"/>
                    </a:xfrm>
                    <a:prstGeom prst="rect">
                      <a:avLst/>
                    </a:prstGeom>
                    <a:noFill/>
                    <a:ln>
                      <a:noFill/>
                    </a:ln>
                  </pic:spPr>
                </pic:pic>
              </a:graphicData>
            </a:graphic>
          </wp:inline>
        </w:drawing>
      </w:r>
    </w:p>
    <w:p w:rsidR="00B022BF" w:rsidRDefault="00B022BF">
      <w:r>
        <w:rPr>
          <w:noProof/>
        </w:rPr>
        <w:drawing>
          <wp:inline distT="0" distB="0" distL="0" distR="0">
            <wp:extent cx="5274310" cy="7501241"/>
            <wp:effectExtent l="0" t="0" r="2540" b="5080"/>
            <wp:docPr id="3" name="图片 3" descr="D:\li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s\Desktop\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501241"/>
                    </a:xfrm>
                    <a:prstGeom prst="rect">
                      <a:avLst/>
                    </a:prstGeom>
                    <a:noFill/>
                    <a:ln>
                      <a:noFill/>
                    </a:ln>
                  </pic:spPr>
                </pic:pic>
              </a:graphicData>
            </a:graphic>
          </wp:inline>
        </w:drawing>
      </w:r>
    </w:p>
    <w:sectPr w:rsidR="00B022BF" w:rsidSect="00C429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908" w:rsidRDefault="00F62908" w:rsidP="00B456EA">
      <w:r>
        <w:separator/>
      </w:r>
    </w:p>
  </w:endnote>
  <w:endnote w:type="continuationSeparator" w:id="0">
    <w:p w:rsidR="00F62908" w:rsidRDefault="00F62908" w:rsidP="00B456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908" w:rsidRDefault="00F62908" w:rsidP="00B456EA">
      <w:r>
        <w:separator/>
      </w:r>
    </w:p>
  </w:footnote>
  <w:footnote w:type="continuationSeparator" w:id="0">
    <w:p w:rsidR="00F62908" w:rsidRDefault="00F62908" w:rsidP="00B4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7827"/>
    <w:rsid w:val="00445B57"/>
    <w:rsid w:val="00514C99"/>
    <w:rsid w:val="006A7032"/>
    <w:rsid w:val="0073519E"/>
    <w:rsid w:val="00797664"/>
    <w:rsid w:val="008A0B83"/>
    <w:rsid w:val="00977641"/>
    <w:rsid w:val="00B022BF"/>
    <w:rsid w:val="00B40691"/>
    <w:rsid w:val="00B456EA"/>
    <w:rsid w:val="00C42968"/>
    <w:rsid w:val="00CC183B"/>
    <w:rsid w:val="00DF433C"/>
    <w:rsid w:val="00E6683F"/>
    <w:rsid w:val="00E67827"/>
    <w:rsid w:val="00EE44C3"/>
    <w:rsid w:val="00F04BD7"/>
    <w:rsid w:val="00F62908"/>
    <w:rsid w:val="00FC50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8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56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456EA"/>
    <w:rPr>
      <w:sz w:val="18"/>
      <w:szCs w:val="18"/>
    </w:rPr>
  </w:style>
  <w:style w:type="paragraph" w:styleId="a4">
    <w:name w:val="footer"/>
    <w:basedOn w:val="a"/>
    <w:link w:val="Char0"/>
    <w:uiPriority w:val="99"/>
    <w:unhideWhenUsed/>
    <w:rsid w:val="00B456EA"/>
    <w:pPr>
      <w:tabs>
        <w:tab w:val="center" w:pos="4153"/>
        <w:tab w:val="right" w:pos="8306"/>
      </w:tabs>
      <w:snapToGrid w:val="0"/>
      <w:jc w:val="left"/>
    </w:pPr>
    <w:rPr>
      <w:sz w:val="18"/>
      <w:szCs w:val="18"/>
    </w:rPr>
  </w:style>
  <w:style w:type="character" w:customStyle="1" w:styleId="Char0">
    <w:name w:val="页脚 Char"/>
    <w:basedOn w:val="a0"/>
    <w:link w:val="a4"/>
    <w:uiPriority w:val="99"/>
    <w:rsid w:val="00B456EA"/>
    <w:rPr>
      <w:sz w:val="18"/>
      <w:szCs w:val="18"/>
    </w:rPr>
  </w:style>
  <w:style w:type="paragraph" w:styleId="a5">
    <w:name w:val="Balloon Text"/>
    <w:basedOn w:val="a"/>
    <w:link w:val="Char1"/>
    <w:uiPriority w:val="99"/>
    <w:semiHidden/>
    <w:unhideWhenUsed/>
    <w:rsid w:val="00B456EA"/>
    <w:rPr>
      <w:sz w:val="18"/>
      <w:szCs w:val="18"/>
    </w:rPr>
  </w:style>
  <w:style w:type="character" w:customStyle="1" w:styleId="Char1">
    <w:name w:val="批注框文本 Char"/>
    <w:basedOn w:val="a0"/>
    <w:link w:val="a5"/>
    <w:uiPriority w:val="99"/>
    <w:semiHidden/>
    <w:rsid w:val="00B456EA"/>
    <w:rPr>
      <w:sz w:val="18"/>
      <w:szCs w:val="18"/>
    </w:rPr>
  </w:style>
  <w:style w:type="character" w:styleId="a6">
    <w:name w:val="annotation reference"/>
    <w:basedOn w:val="a0"/>
    <w:uiPriority w:val="99"/>
    <w:semiHidden/>
    <w:unhideWhenUsed/>
    <w:rsid w:val="00445B57"/>
    <w:rPr>
      <w:sz w:val="21"/>
      <w:szCs w:val="21"/>
    </w:rPr>
  </w:style>
  <w:style w:type="paragraph" w:styleId="a7">
    <w:name w:val="annotation text"/>
    <w:basedOn w:val="a"/>
    <w:link w:val="Char2"/>
    <w:uiPriority w:val="99"/>
    <w:semiHidden/>
    <w:unhideWhenUsed/>
    <w:rsid w:val="00445B57"/>
    <w:pPr>
      <w:jc w:val="left"/>
    </w:pPr>
  </w:style>
  <w:style w:type="character" w:customStyle="1" w:styleId="Char2">
    <w:name w:val="批注文字 Char"/>
    <w:basedOn w:val="a0"/>
    <w:link w:val="a7"/>
    <w:uiPriority w:val="99"/>
    <w:semiHidden/>
    <w:rsid w:val="00445B57"/>
  </w:style>
  <w:style w:type="paragraph" w:styleId="a8">
    <w:name w:val="annotation subject"/>
    <w:basedOn w:val="a7"/>
    <w:next w:val="a7"/>
    <w:link w:val="Char3"/>
    <w:uiPriority w:val="99"/>
    <w:semiHidden/>
    <w:unhideWhenUsed/>
    <w:rsid w:val="00445B57"/>
    <w:rPr>
      <w:b/>
      <w:bCs/>
    </w:rPr>
  </w:style>
  <w:style w:type="character" w:customStyle="1" w:styleId="Char3">
    <w:name w:val="批注主题 Char"/>
    <w:basedOn w:val="Char2"/>
    <w:link w:val="a8"/>
    <w:uiPriority w:val="99"/>
    <w:semiHidden/>
    <w:rsid w:val="00445B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8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56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456EA"/>
    <w:rPr>
      <w:sz w:val="18"/>
      <w:szCs w:val="18"/>
    </w:rPr>
  </w:style>
  <w:style w:type="paragraph" w:styleId="a4">
    <w:name w:val="footer"/>
    <w:basedOn w:val="a"/>
    <w:link w:val="Char0"/>
    <w:uiPriority w:val="99"/>
    <w:unhideWhenUsed/>
    <w:rsid w:val="00B456EA"/>
    <w:pPr>
      <w:tabs>
        <w:tab w:val="center" w:pos="4153"/>
        <w:tab w:val="right" w:pos="8306"/>
      </w:tabs>
      <w:snapToGrid w:val="0"/>
      <w:jc w:val="left"/>
    </w:pPr>
    <w:rPr>
      <w:sz w:val="18"/>
      <w:szCs w:val="18"/>
    </w:rPr>
  </w:style>
  <w:style w:type="character" w:customStyle="1" w:styleId="Char0">
    <w:name w:val="页脚 Char"/>
    <w:basedOn w:val="a0"/>
    <w:link w:val="a4"/>
    <w:uiPriority w:val="99"/>
    <w:rsid w:val="00B456EA"/>
    <w:rPr>
      <w:sz w:val="18"/>
      <w:szCs w:val="18"/>
    </w:rPr>
  </w:style>
  <w:style w:type="paragraph" w:styleId="a5">
    <w:name w:val="Balloon Text"/>
    <w:basedOn w:val="a"/>
    <w:link w:val="Char1"/>
    <w:uiPriority w:val="99"/>
    <w:semiHidden/>
    <w:unhideWhenUsed/>
    <w:rsid w:val="00B456EA"/>
    <w:rPr>
      <w:sz w:val="18"/>
      <w:szCs w:val="18"/>
    </w:rPr>
  </w:style>
  <w:style w:type="character" w:customStyle="1" w:styleId="Char1">
    <w:name w:val="批注框文本 Char"/>
    <w:basedOn w:val="a0"/>
    <w:link w:val="a5"/>
    <w:uiPriority w:val="99"/>
    <w:semiHidden/>
    <w:rsid w:val="00B456EA"/>
    <w:rPr>
      <w:sz w:val="18"/>
      <w:szCs w:val="18"/>
    </w:rPr>
  </w:style>
  <w:style w:type="character" w:styleId="a6">
    <w:name w:val="annotation reference"/>
    <w:basedOn w:val="a0"/>
    <w:uiPriority w:val="99"/>
    <w:semiHidden/>
    <w:unhideWhenUsed/>
    <w:rsid w:val="00445B57"/>
    <w:rPr>
      <w:sz w:val="21"/>
      <w:szCs w:val="21"/>
    </w:rPr>
  </w:style>
  <w:style w:type="paragraph" w:styleId="a7">
    <w:name w:val="annotation text"/>
    <w:basedOn w:val="a"/>
    <w:link w:val="Char2"/>
    <w:uiPriority w:val="99"/>
    <w:semiHidden/>
    <w:unhideWhenUsed/>
    <w:rsid w:val="00445B57"/>
    <w:pPr>
      <w:jc w:val="left"/>
    </w:pPr>
  </w:style>
  <w:style w:type="character" w:customStyle="1" w:styleId="Char2">
    <w:name w:val="批注文字 Char"/>
    <w:basedOn w:val="a0"/>
    <w:link w:val="a7"/>
    <w:uiPriority w:val="99"/>
    <w:semiHidden/>
    <w:rsid w:val="00445B57"/>
  </w:style>
  <w:style w:type="paragraph" w:styleId="a8">
    <w:name w:val="annotation subject"/>
    <w:basedOn w:val="a7"/>
    <w:next w:val="a7"/>
    <w:link w:val="Char3"/>
    <w:uiPriority w:val="99"/>
    <w:semiHidden/>
    <w:unhideWhenUsed/>
    <w:rsid w:val="00445B57"/>
    <w:rPr>
      <w:b/>
      <w:bCs/>
    </w:rPr>
  </w:style>
  <w:style w:type="character" w:customStyle="1" w:styleId="Char3">
    <w:name w:val="批注主题 Char"/>
    <w:basedOn w:val="Char2"/>
    <w:link w:val="a8"/>
    <w:uiPriority w:val="99"/>
    <w:semiHidden/>
    <w:rsid w:val="00445B57"/>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1443</Characters>
  <Application>Microsoft Office Word</Application>
  <DocSecurity>4</DocSecurity>
  <Lines>12</Lines>
  <Paragraphs>3</Paragraphs>
  <ScaleCrop>false</ScaleCrop>
  <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李穗</dc:creator>
  <cp:lastModifiedBy>ZHONGM</cp:lastModifiedBy>
  <cp:revision>2</cp:revision>
  <cp:lastPrinted>2022-07-26T05:38:00Z</cp:lastPrinted>
  <dcterms:created xsi:type="dcterms:W3CDTF">2022-07-26T16:01:00Z</dcterms:created>
  <dcterms:modified xsi:type="dcterms:W3CDTF">2022-07-26T16:01:00Z</dcterms:modified>
</cp:coreProperties>
</file>