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C0" w:rsidRDefault="00AF062B">
      <w:pPr>
        <w:jc w:val="center"/>
        <w:rPr>
          <w:sz w:val="30"/>
          <w:szCs w:val="30"/>
        </w:rPr>
      </w:pPr>
      <w:r>
        <w:rPr>
          <w:rFonts w:hint="eastAsia"/>
          <w:sz w:val="30"/>
          <w:szCs w:val="30"/>
        </w:rPr>
        <w:t>关于东方</w:t>
      </w:r>
      <w:r>
        <w:rPr>
          <w:rFonts w:hint="eastAsia"/>
          <w:sz w:val="30"/>
          <w:szCs w:val="30"/>
          <w:lang w:val="en-US"/>
        </w:rPr>
        <w:t>基金旗下部分基金在</w:t>
      </w:r>
      <w:r>
        <w:rPr>
          <w:rFonts w:hint="eastAsia"/>
          <w:sz w:val="30"/>
          <w:szCs w:val="30"/>
        </w:rPr>
        <w:t>诺亚正行基金销售有限公司</w:t>
      </w:r>
    </w:p>
    <w:p w:rsidR="004420C0" w:rsidRDefault="00AF062B">
      <w:pPr>
        <w:jc w:val="center"/>
        <w:rPr>
          <w:sz w:val="30"/>
          <w:lang w:val="en-US"/>
        </w:rPr>
      </w:pPr>
      <w:r>
        <w:rPr>
          <w:rFonts w:hint="eastAsia"/>
          <w:sz w:val="30"/>
          <w:szCs w:val="30"/>
          <w:lang w:val="en-US"/>
        </w:rPr>
        <w:t>开通</w:t>
      </w:r>
      <w:r>
        <w:rPr>
          <w:sz w:val="30"/>
        </w:rPr>
        <w:t>转换业务</w:t>
      </w:r>
      <w:r>
        <w:rPr>
          <w:rFonts w:hint="eastAsia"/>
          <w:sz w:val="30"/>
          <w:lang w:val="en-US"/>
        </w:rPr>
        <w:t>的公告</w:t>
      </w:r>
    </w:p>
    <w:p w:rsidR="004420C0" w:rsidRDefault="004420C0">
      <w:pPr>
        <w:jc w:val="center"/>
        <w:rPr>
          <w:sz w:val="30"/>
          <w:lang w:val="en-US"/>
        </w:rPr>
      </w:pPr>
    </w:p>
    <w:p w:rsidR="004420C0" w:rsidRDefault="00AF062B">
      <w:pPr>
        <w:pStyle w:val="a4"/>
        <w:spacing w:before="161" w:line="364" w:lineRule="auto"/>
        <w:ind w:right="239" w:firstLine="480"/>
        <w:jc w:val="both"/>
      </w:pPr>
      <w:r>
        <w:t>东方基金管理股份有限公司（以下简称</w:t>
      </w:r>
      <w:r>
        <w:t>“</w:t>
      </w:r>
      <w:r>
        <w:t>本公司</w:t>
      </w:r>
      <w:r>
        <w:t>”</w:t>
      </w:r>
      <w:r>
        <w:t>）与</w:t>
      </w:r>
      <w:r>
        <w:rPr>
          <w:rFonts w:hint="eastAsia"/>
        </w:rPr>
        <w:t>诺亚正行基金销售有限公司（</w:t>
      </w:r>
      <w:r>
        <w:rPr>
          <w:rFonts w:hint="eastAsia"/>
          <w:lang w:val="en-US"/>
        </w:rPr>
        <w:t>以下简称“诺亚正行”</w:t>
      </w:r>
      <w:r>
        <w:rPr>
          <w:rFonts w:hint="eastAsia"/>
        </w:rPr>
        <w:t>）</w:t>
      </w:r>
      <w:r>
        <w:t>协商一致，自</w:t>
      </w:r>
      <w:r>
        <w:t>202</w:t>
      </w:r>
      <w:r>
        <w:rPr>
          <w:rFonts w:hint="eastAsia"/>
          <w:lang w:val="en-US"/>
        </w:rPr>
        <w:t>2</w:t>
      </w:r>
      <w:r>
        <w:t>年</w:t>
      </w:r>
      <w:r>
        <w:rPr>
          <w:rFonts w:hint="eastAsia"/>
          <w:lang w:val="en-US"/>
        </w:rPr>
        <w:t>7</w:t>
      </w:r>
      <w:r>
        <w:t>月</w:t>
      </w:r>
      <w:r>
        <w:rPr>
          <w:rFonts w:hint="eastAsia"/>
          <w:lang w:val="en-US"/>
        </w:rPr>
        <w:t>26</w:t>
      </w:r>
      <w:r>
        <w:t>日起，新增</w:t>
      </w:r>
      <w:r>
        <w:rPr>
          <w:rFonts w:hint="eastAsia"/>
          <w:lang w:val="en-US"/>
        </w:rPr>
        <w:t>诺亚正行</w:t>
      </w:r>
      <w:r>
        <w:t>办理本公司</w:t>
      </w:r>
      <w:r>
        <w:rPr>
          <w:rFonts w:hint="eastAsia"/>
        </w:rPr>
        <w:t>旗下</w:t>
      </w:r>
      <w:r>
        <w:rPr>
          <w:rFonts w:hint="eastAsia"/>
          <w:lang w:val="en-US"/>
        </w:rPr>
        <w:t>部分基金</w:t>
      </w:r>
      <w:r>
        <w:t>的</w:t>
      </w:r>
      <w:r>
        <w:rPr>
          <w:rFonts w:hint="eastAsia"/>
          <w:lang w:val="en-US"/>
        </w:rPr>
        <w:t>转换</w:t>
      </w:r>
      <w:r>
        <w:t>业务</w:t>
      </w:r>
      <w:r>
        <w:rPr>
          <w:rFonts w:hint="eastAsia"/>
        </w:rPr>
        <w:t>，</w:t>
      </w:r>
      <w:r>
        <w:t>现将有关事项公告如下：</w:t>
      </w:r>
    </w:p>
    <w:p w:rsidR="004420C0" w:rsidRDefault="004420C0">
      <w:pPr>
        <w:pStyle w:val="a4"/>
        <w:spacing w:before="161" w:line="364" w:lineRule="auto"/>
        <w:ind w:right="239" w:firstLine="480"/>
        <w:jc w:val="both"/>
      </w:pPr>
    </w:p>
    <w:p w:rsidR="004420C0" w:rsidRDefault="00AF062B">
      <w:pPr>
        <w:pStyle w:val="2"/>
        <w:numPr>
          <w:ilvl w:val="0"/>
          <w:numId w:val="1"/>
        </w:numPr>
        <w:spacing w:before="2"/>
        <w:rPr>
          <w:w w:val="95"/>
        </w:rPr>
      </w:pPr>
      <w:r>
        <w:rPr>
          <w:w w:val="95"/>
        </w:rPr>
        <w:t>适用基金范围</w:t>
      </w:r>
      <w:bookmarkStart w:id="0" w:name="_GoBack"/>
      <w:bookmarkEnd w:id="0"/>
    </w:p>
    <w:p w:rsidR="004420C0" w:rsidRDefault="004420C0"/>
    <w:p w:rsidR="004420C0" w:rsidRDefault="00AF062B">
      <w:pPr>
        <w:spacing w:line="360" w:lineRule="auto"/>
        <w:ind w:firstLineChars="250" w:firstLine="600"/>
        <w:rPr>
          <w:sz w:val="24"/>
          <w:szCs w:val="24"/>
        </w:rPr>
      </w:pPr>
      <w:r>
        <w:rPr>
          <w:sz w:val="24"/>
          <w:szCs w:val="24"/>
        </w:rPr>
        <w:t>本公司管理的且已在诺亚正行销售的开放式基金。</w:t>
      </w:r>
    </w:p>
    <w:p w:rsidR="004420C0" w:rsidRDefault="004420C0">
      <w:pPr>
        <w:rPr>
          <w:sz w:val="24"/>
          <w:szCs w:val="24"/>
          <w:highlight w:val="yellow"/>
          <w:lang w:val="en-US"/>
        </w:rPr>
      </w:pPr>
    </w:p>
    <w:p w:rsidR="004420C0" w:rsidRDefault="00AF062B">
      <w:pPr>
        <w:pStyle w:val="2"/>
      </w:pPr>
      <w:r>
        <w:rPr>
          <w:rFonts w:hint="eastAsia"/>
          <w:lang w:val="en-US"/>
        </w:rPr>
        <w:t>二</w:t>
      </w:r>
      <w:r>
        <w:t>、重要提示</w:t>
      </w:r>
    </w:p>
    <w:p w:rsidR="004420C0" w:rsidRDefault="00AF062B">
      <w:pPr>
        <w:pStyle w:val="ab"/>
        <w:numPr>
          <w:ilvl w:val="255"/>
          <w:numId w:val="0"/>
        </w:numPr>
        <w:tabs>
          <w:tab w:val="left" w:pos="861"/>
        </w:tabs>
        <w:spacing w:before="160" w:line="360" w:lineRule="auto"/>
        <w:ind w:firstLineChars="200" w:firstLine="480"/>
        <w:rPr>
          <w:sz w:val="24"/>
          <w:szCs w:val="24"/>
          <w:lang w:val="en-US"/>
        </w:rPr>
      </w:pPr>
      <w:r>
        <w:rPr>
          <w:rFonts w:hint="eastAsia"/>
          <w:sz w:val="24"/>
          <w:szCs w:val="24"/>
          <w:lang w:val="en-US"/>
        </w:rPr>
        <w:t>1.</w:t>
      </w:r>
      <w:r>
        <w:rPr>
          <w:rFonts w:hint="eastAsia"/>
        </w:rPr>
        <w:t xml:space="preserve"> </w:t>
      </w:r>
      <w:r>
        <w:rPr>
          <w:rFonts w:hint="eastAsia"/>
          <w:sz w:val="24"/>
          <w:szCs w:val="24"/>
          <w:lang w:val="en-US"/>
        </w:rPr>
        <w:t>东方欣冉九个月持有期混合型证券投资基金</w:t>
      </w:r>
      <w:r>
        <w:rPr>
          <w:sz w:val="24"/>
          <w:szCs w:val="24"/>
          <w:lang w:val="en-US"/>
        </w:rPr>
        <w:t>目前处于封闭期，暂未开放基金转换业务，自开放之日起，</w:t>
      </w:r>
      <w:r>
        <w:rPr>
          <w:rFonts w:hint="eastAsia"/>
          <w:sz w:val="24"/>
          <w:szCs w:val="24"/>
          <w:lang w:val="en-US"/>
        </w:rPr>
        <w:t>可通过诺亚正行办理基金转换业务</w:t>
      </w:r>
      <w:r>
        <w:rPr>
          <w:sz w:val="24"/>
          <w:szCs w:val="24"/>
          <w:lang w:val="en-US"/>
        </w:rPr>
        <w:t>。</w:t>
      </w:r>
      <w:r>
        <w:rPr>
          <w:rFonts w:hint="eastAsia"/>
          <w:sz w:val="24"/>
          <w:szCs w:val="24"/>
          <w:lang w:val="en-US"/>
        </w:rPr>
        <w:t>具体开放时间请参见本公司公告。东方品质消费一年持有期混合型证券投资基金、东方鑫享价值成长一年持有期混合型证券投资基金、东方欣益一年持有期偏债混合型证券投资基金基金</w:t>
      </w:r>
      <w:r>
        <w:rPr>
          <w:sz w:val="24"/>
          <w:szCs w:val="24"/>
          <w:lang w:val="en-US"/>
        </w:rPr>
        <w:t>份额</w:t>
      </w:r>
      <w:r>
        <w:rPr>
          <w:rFonts w:hint="eastAsia"/>
          <w:sz w:val="24"/>
          <w:szCs w:val="24"/>
          <w:lang w:val="en-US"/>
        </w:rPr>
        <w:t>最短持有期</w:t>
      </w:r>
      <w:r>
        <w:rPr>
          <w:sz w:val="24"/>
          <w:szCs w:val="24"/>
          <w:lang w:val="en-US"/>
        </w:rPr>
        <w:t>为一年，</w:t>
      </w:r>
      <w:r>
        <w:rPr>
          <w:rFonts w:hint="eastAsia"/>
          <w:sz w:val="24"/>
          <w:szCs w:val="24"/>
          <w:lang w:val="en-US"/>
        </w:rPr>
        <w:t>东方欣冉九个月持有期混合型证券投资基金</w:t>
      </w:r>
      <w:r>
        <w:rPr>
          <w:rFonts w:hint="eastAsia"/>
          <w:sz w:val="24"/>
          <w:szCs w:val="24"/>
          <w:lang w:val="en-US"/>
        </w:rPr>
        <w:t>基金</w:t>
      </w:r>
      <w:r>
        <w:rPr>
          <w:rFonts w:hint="eastAsia"/>
          <w:sz w:val="24"/>
          <w:szCs w:val="24"/>
          <w:lang w:val="en-US"/>
        </w:rPr>
        <w:t>份额最短持有期为</w:t>
      </w:r>
      <w:r>
        <w:rPr>
          <w:sz w:val="24"/>
          <w:szCs w:val="24"/>
          <w:lang w:val="en-US"/>
        </w:rPr>
        <w:t>九个月</w:t>
      </w:r>
      <w:r>
        <w:rPr>
          <w:rFonts w:hint="eastAsia"/>
          <w:sz w:val="24"/>
          <w:szCs w:val="24"/>
          <w:lang w:val="en-US"/>
        </w:rPr>
        <w:t>，在最短持有期内，该份基金份额不可转换转出。最短持有期期满后，通过诺亚正行申购该基金的投资者可通过诺亚正行办理相关基金份额的转换转出业务。</w:t>
      </w:r>
    </w:p>
    <w:p w:rsidR="004420C0" w:rsidRDefault="00AF062B">
      <w:pPr>
        <w:pStyle w:val="ab"/>
        <w:numPr>
          <w:ilvl w:val="255"/>
          <w:numId w:val="0"/>
        </w:numPr>
        <w:tabs>
          <w:tab w:val="left" w:pos="861"/>
        </w:tabs>
        <w:spacing w:before="160" w:line="360" w:lineRule="auto"/>
        <w:ind w:right="0" w:firstLineChars="200" w:firstLine="480"/>
        <w:rPr>
          <w:sz w:val="24"/>
          <w:lang w:val="en-US"/>
        </w:rPr>
      </w:pPr>
      <w:r>
        <w:rPr>
          <w:sz w:val="24"/>
          <w:lang w:val="en-US"/>
        </w:rPr>
        <w:t>2</w:t>
      </w:r>
      <w:r>
        <w:rPr>
          <w:rFonts w:hint="eastAsia"/>
          <w:sz w:val="24"/>
          <w:lang w:val="en-US"/>
        </w:rPr>
        <w:t>.</w:t>
      </w:r>
      <w:r>
        <w:rPr>
          <w:rFonts w:hint="eastAsia"/>
          <w:sz w:val="24"/>
          <w:lang w:val="en-US"/>
        </w:rPr>
        <w:t>基金费率请详见基金的《基金合同》、《招募说明书（更新）》、《基金产品资料概要》等相关法律文件及本公司发布的最新业务公告。</w:t>
      </w:r>
    </w:p>
    <w:p w:rsidR="004420C0" w:rsidRDefault="00AF062B">
      <w:pPr>
        <w:pStyle w:val="ab"/>
        <w:numPr>
          <w:ilvl w:val="255"/>
          <w:numId w:val="0"/>
        </w:numPr>
        <w:tabs>
          <w:tab w:val="left" w:pos="861"/>
        </w:tabs>
        <w:spacing w:before="160" w:line="360" w:lineRule="auto"/>
        <w:ind w:right="0" w:firstLineChars="200" w:firstLine="480"/>
        <w:rPr>
          <w:sz w:val="24"/>
        </w:rPr>
      </w:pPr>
      <w:r>
        <w:rPr>
          <w:sz w:val="24"/>
          <w:lang w:val="en-US"/>
        </w:rPr>
        <w:t>3</w:t>
      </w:r>
      <w:r>
        <w:rPr>
          <w:rFonts w:hint="eastAsia"/>
          <w:sz w:val="24"/>
          <w:lang w:val="en-US"/>
        </w:rPr>
        <w:t>.</w:t>
      </w:r>
      <w:r>
        <w:rPr>
          <w:rFonts w:hint="eastAsia"/>
          <w:sz w:val="24"/>
        </w:rPr>
        <w:t>基金转换是指投资者可将其持有的本公司旗下某只开放式基金的全部或部分基</w:t>
      </w:r>
      <w:r>
        <w:rPr>
          <w:rFonts w:hint="eastAsia"/>
          <w:sz w:val="24"/>
        </w:rPr>
        <w:lastRenderedPageBreak/>
        <w:t>金份额转换为本公司管理的另一只开放式基金份额的交易行为。上述基金中，若同时采用前端收费和后端收费，则只开通前端收费模式下的转换业务。</w:t>
      </w:r>
    </w:p>
    <w:p w:rsidR="004420C0" w:rsidRDefault="00AF062B" w:rsidP="00AF062B">
      <w:pPr>
        <w:pStyle w:val="a4"/>
        <w:spacing w:before="1" w:line="360" w:lineRule="auto"/>
        <w:ind w:left="0" w:right="111" w:firstLineChars="200" w:firstLine="460"/>
      </w:pPr>
      <w:r>
        <w:rPr>
          <w:spacing w:val="-10"/>
          <w:lang w:val="en-US"/>
        </w:rPr>
        <w:t>4</w:t>
      </w:r>
      <w:r>
        <w:rPr>
          <w:rFonts w:hint="eastAsia"/>
          <w:spacing w:val="-10"/>
          <w:lang w:val="en-US"/>
        </w:rPr>
        <w:t>.</w:t>
      </w:r>
      <w:r>
        <w:rPr>
          <w:spacing w:val="-10"/>
        </w:rPr>
        <w:t>业务办理的业务规则和流程以上述机构的安排和规定为准。相关活动的具体规定如有变化，以上述机构网站或平台的最新公告为准，敬请投资者关注。</w:t>
      </w:r>
    </w:p>
    <w:p w:rsidR="004420C0" w:rsidRDefault="004420C0">
      <w:pPr>
        <w:rPr>
          <w:lang w:val="en-US"/>
        </w:rPr>
      </w:pPr>
    </w:p>
    <w:p w:rsidR="004420C0" w:rsidRDefault="00AF062B" w:rsidP="00AF062B">
      <w:pPr>
        <w:spacing w:before="1" w:line="364" w:lineRule="auto"/>
        <w:ind w:leftChars="63" w:left="619" w:right="3441" w:hangingChars="200" w:hanging="480"/>
        <w:rPr>
          <w:b/>
          <w:bCs/>
          <w:sz w:val="24"/>
          <w:szCs w:val="24"/>
        </w:rPr>
      </w:pPr>
      <w:r>
        <w:rPr>
          <w:rFonts w:hint="eastAsia"/>
          <w:b/>
          <w:bCs/>
          <w:sz w:val="24"/>
          <w:szCs w:val="24"/>
          <w:lang w:val="en-US"/>
        </w:rPr>
        <w:t>三、</w:t>
      </w:r>
      <w:r>
        <w:rPr>
          <w:b/>
          <w:bCs/>
          <w:sz w:val="24"/>
          <w:szCs w:val="24"/>
        </w:rPr>
        <w:t>投资者可通过以下途径咨询有关详情</w:t>
      </w:r>
    </w:p>
    <w:p w:rsidR="004420C0" w:rsidRDefault="00AF062B" w:rsidP="00AF062B">
      <w:pPr>
        <w:spacing w:line="360" w:lineRule="auto"/>
        <w:ind w:firstLineChars="200" w:firstLine="478"/>
        <w:rPr>
          <w:spacing w:val="-1"/>
          <w:sz w:val="24"/>
          <w:szCs w:val="24"/>
          <w:lang w:val="en-US"/>
        </w:rPr>
        <w:pPrChange w:id="1" w:author="ZHONGM" w:date="2022-07-25T00:00: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诺亚正行基金销售有限公司</w:t>
      </w:r>
    </w:p>
    <w:p w:rsidR="004420C0" w:rsidRDefault="00AF062B" w:rsidP="00AF062B">
      <w:pPr>
        <w:spacing w:line="360" w:lineRule="auto"/>
        <w:ind w:firstLineChars="200" w:firstLine="478"/>
        <w:rPr>
          <w:spacing w:val="-1"/>
          <w:sz w:val="24"/>
          <w:szCs w:val="24"/>
          <w:lang w:val="en-US"/>
        </w:rPr>
        <w:pPrChange w:id="2" w:author="ZHONGM" w:date="2022-07-25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400-821-5399</w:t>
      </w:r>
    </w:p>
    <w:p w:rsidR="004420C0" w:rsidRDefault="004420C0">
      <w:pPr>
        <w:spacing w:line="360" w:lineRule="auto"/>
        <w:ind w:firstLineChars="200" w:firstLine="440"/>
        <w:rPr>
          <w:spacing w:val="-1"/>
          <w:sz w:val="24"/>
          <w:szCs w:val="24"/>
          <w:lang w:val="en-US"/>
        </w:rPr>
      </w:pPr>
      <w:hyperlink r:id="rId8">
        <w:r w:rsidR="00AF062B">
          <w:rPr>
            <w:rFonts w:hint="eastAsia"/>
            <w:spacing w:val="-1"/>
            <w:sz w:val="24"/>
            <w:szCs w:val="24"/>
            <w:lang w:val="en-US"/>
          </w:rPr>
          <w:t>网址：</w:t>
        </w:r>
      </w:hyperlink>
      <w:r w:rsidR="00AF062B">
        <w:rPr>
          <w:rFonts w:hint="eastAsia"/>
          <w:spacing w:val="-1"/>
          <w:sz w:val="24"/>
          <w:szCs w:val="24"/>
          <w:lang w:val="en-US"/>
        </w:rPr>
        <w:t>www.noah-fund.com</w:t>
      </w:r>
    </w:p>
    <w:p w:rsidR="004420C0" w:rsidRDefault="00AF062B" w:rsidP="00AF062B">
      <w:pPr>
        <w:spacing w:line="360" w:lineRule="auto"/>
        <w:ind w:firstLineChars="200" w:firstLine="478"/>
        <w:rPr>
          <w:spacing w:val="-1"/>
          <w:sz w:val="24"/>
          <w:szCs w:val="24"/>
          <w:lang w:val="en-US"/>
        </w:rPr>
      </w:pPr>
      <w:r>
        <w:rPr>
          <w:rFonts w:hint="eastAsia"/>
          <w:spacing w:val="-1"/>
          <w:sz w:val="24"/>
          <w:szCs w:val="24"/>
          <w:lang w:val="en-US"/>
        </w:rPr>
        <w:t>2.</w:t>
      </w:r>
      <w:r>
        <w:rPr>
          <w:rFonts w:hint="eastAsia"/>
          <w:spacing w:val="-1"/>
          <w:sz w:val="24"/>
          <w:szCs w:val="24"/>
          <w:lang w:val="en-US"/>
        </w:rPr>
        <w:t>东方基金管理股份有限公司</w:t>
      </w:r>
    </w:p>
    <w:p w:rsidR="004420C0" w:rsidRDefault="00AF062B" w:rsidP="00AF062B">
      <w:pPr>
        <w:spacing w:line="360" w:lineRule="auto"/>
        <w:ind w:firstLineChars="200" w:firstLine="478"/>
        <w:rPr>
          <w:spacing w:val="-1"/>
          <w:sz w:val="24"/>
          <w:szCs w:val="24"/>
          <w:lang w:val="en-US"/>
        </w:rPr>
        <w:pPrChange w:id="3" w:author="ZHONGM" w:date="2022-07-25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4420C0" w:rsidRDefault="004420C0">
      <w:pPr>
        <w:spacing w:line="360" w:lineRule="auto"/>
        <w:ind w:firstLineChars="200" w:firstLine="440"/>
        <w:rPr>
          <w:spacing w:val="-1"/>
          <w:sz w:val="24"/>
          <w:szCs w:val="24"/>
          <w:lang w:val="en-US"/>
        </w:rPr>
      </w:pPr>
      <w:hyperlink r:id="rId9">
        <w:r w:rsidR="00AF062B">
          <w:rPr>
            <w:rFonts w:hint="eastAsia"/>
            <w:spacing w:val="-1"/>
            <w:sz w:val="24"/>
            <w:szCs w:val="24"/>
            <w:lang w:val="en-US"/>
          </w:rPr>
          <w:t>网址：</w:t>
        </w:r>
        <w:r w:rsidR="00AF062B">
          <w:rPr>
            <w:rFonts w:hint="eastAsia"/>
            <w:spacing w:val="-1"/>
            <w:sz w:val="24"/>
            <w:szCs w:val="24"/>
            <w:lang w:val="en-US"/>
          </w:rPr>
          <w:t xml:space="preserve">www.orient-fund.com </w:t>
        </w:r>
      </w:hyperlink>
    </w:p>
    <w:p w:rsidR="004420C0" w:rsidRDefault="00AF062B">
      <w:pPr>
        <w:spacing w:before="1" w:line="364" w:lineRule="auto"/>
        <w:ind w:left="140" w:right="4541"/>
        <w:rPr>
          <w:b/>
          <w:spacing w:val="-1"/>
          <w:sz w:val="24"/>
        </w:rPr>
      </w:pPr>
      <w:r>
        <w:rPr>
          <w:rFonts w:hint="eastAsia"/>
          <w:b/>
          <w:spacing w:val="-1"/>
          <w:sz w:val="24"/>
          <w:lang w:val="en-US"/>
        </w:rPr>
        <w:t>四、</w:t>
      </w:r>
      <w:r>
        <w:rPr>
          <w:b/>
          <w:spacing w:val="-1"/>
          <w:sz w:val="24"/>
        </w:rPr>
        <w:t>风险提示</w:t>
      </w:r>
    </w:p>
    <w:p w:rsidR="004420C0" w:rsidRDefault="00AF062B">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4420C0" w:rsidRDefault="00AF062B">
      <w:pPr>
        <w:pStyle w:val="a4"/>
        <w:spacing w:before="1" w:line="364" w:lineRule="auto"/>
        <w:ind w:right="239" w:firstLine="480"/>
        <w:jc w:val="both"/>
      </w:pPr>
      <w:r>
        <w:rPr>
          <w:rFonts w:hint="eastAsia"/>
        </w:rPr>
        <w:t>东方品质消费一年</w:t>
      </w:r>
      <w:r>
        <w:rPr>
          <w:rFonts w:hint="eastAsia"/>
        </w:rPr>
        <w:t>持有期混合型证券投资基金、东方鑫享价值成长一年持有期混合型证券投资基金、东方欣益一年持有期偏债混合型证券投资基金对每份基金份额设置</w:t>
      </w:r>
      <w:r>
        <w:t>1</w:t>
      </w:r>
      <w:r>
        <w:t>年的最短持有期限</w:t>
      </w:r>
      <w:r>
        <w:rPr>
          <w:rFonts w:hint="eastAsia"/>
        </w:rPr>
        <w:t>，</w:t>
      </w:r>
      <w:r>
        <w:rPr>
          <w:rFonts w:hint="eastAsia"/>
          <w:lang w:val="en-US"/>
        </w:rPr>
        <w:t>东方欣冉九个月持有期混合型证券投资基金对</w:t>
      </w:r>
      <w:r>
        <w:rPr>
          <w:lang w:val="en-US"/>
        </w:rPr>
        <w:t>每份基</w:t>
      </w:r>
      <w:r>
        <w:rPr>
          <w:lang w:val="en-US"/>
        </w:rPr>
        <w:lastRenderedPageBreak/>
        <w:t>金份额设置</w:t>
      </w:r>
      <w:r>
        <w:rPr>
          <w:rFonts w:hint="eastAsia"/>
          <w:lang w:val="en-US"/>
        </w:rPr>
        <w:t>9</w:t>
      </w:r>
      <w:r>
        <w:rPr>
          <w:lang w:val="en-US"/>
        </w:rPr>
        <w:t>个月的最短持有期限，</w:t>
      </w:r>
      <w:r>
        <w:rPr>
          <w:rFonts w:hint="eastAsia"/>
        </w:rPr>
        <w:t>在最短持有期限内，该份基金份额不可赎回或转换转出</w:t>
      </w:r>
      <w:r>
        <w:t>。因此投资者持有上述基金将面临在最短持有期到期前不能赎回基金份额以及无法退出的流动性风险。敬请投资者注意投资风险。</w:t>
      </w:r>
    </w:p>
    <w:p w:rsidR="004420C0" w:rsidRDefault="004420C0">
      <w:pPr>
        <w:pStyle w:val="a4"/>
        <w:ind w:left="0"/>
      </w:pPr>
    </w:p>
    <w:p w:rsidR="004420C0" w:rsidRDefault="00AF062B">
      <w:pPr>
        <w:pStyle w:val="a4"/>
        <w:spacing w:before="165"/>
        <w:ind w:left="620"/>
      </w:pPr>
      <w:r>
        <w:t>特此公告。</w:t>
      </w:r>
    </w:p>
    <w:p w:rsidR="004420C0" w:rsidRDefault="004420C0">
      <w:pPr>
        <w:pStyle w:val="a4"/>
        <w:ind w:left="0"/>
      </w:pPr>
    </w:p>
    <w:p w:rsidR="004420C0" w:rsidRDefault="00AF062B">
      <w:pPr>
        <w:pStyle w:val="a4"/>
        <w:spacing w:line="364" w:lineRule="auto"/>
        <w:ind w:left="6200" w:right="239" w:hanging="300"/>
        <w:rPr>
          <w:lang w:val="en-US"/>
        </w:rPr>
      </w:pPr>
      <w:r>
        <w:t>东方基金管理股份有限公</w:t>
      </w:r>
      <w:r>
        <w:rPr>
          <w:rFonts w:hint="eastAsia"/>
          <w:lang w:val="en-US"/>
        </w:rPr>
        <w:t>司</w:t>
      </w:r>
    </w:p>
    <w:p w:rsidR="004420C0" w:rsidRDefault="00AF062B">
      <w:pPr>
        <w:pStyle w:val="a4"/>
        <w:spacing w:line="364" w:lineRule="auto"/>
        <w:ind w:left="0" w:right="239" w:firstLineChars="2500" w:firstLine="6000"/>
      </w:pPr>
      <w:r>
        <w:t>二</w:t>
      </w:r>
      <w:r>
        <w:t>○</w:t>
      </w:r>
      <w:r>
        <w:t>二</w:t>
      </w:r>
      <w:r>
        <w:rPr>
          <w:rFonts w:hint="eastAsia"/>
          <w:lang w:val="en-US"/>
        </w:rPr>
        <w:t>二</w:t>
      </w:r>
      <w:r>
        <w:t>年</w:t>
      </w:r>
      <w:r>
        <w:rPr>
          <w:rFonts w:hint="eastAsia"/>
          <w:lang w:val="en-US"/>
        </w:rPr>
        <w:t>七</w:t>
      </w:r>
      <w:r>
        <w:t>月</w:t>
      </w:r>
      <w:r>
        <w:rPr>
          <w:rFonts w:hint="eastAsia"/>
          <w:lang w:val="en-US"/>
        </w:rPr>
        <w:t>二十五</w:t>
      </w:r>
      <w:r>
        <w:t>日</w:t>
      </w:r>
    </w:p>
    <w:sectPr w:rsidR="004420C0" w:rsidSect="004420C0">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C0" w:rsidRDefault="004420C0"/>
  </w:endnote>
  <w:endnote w:type="continuationSeparator" w:id="0">
    <w:p w:rsidR="004420C0" w:rsidRDefault="004420C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C0" w:rsidRDefault="004420C0"/>
  </w:footnote>
  <w:footnote w:type="continuationSeparator" w:id="0">
    <w:p w:rsidR="004420C0" w:rsidRDefault="004420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042B3"/>
    <w:rsid w:val="000251CF"/>
    <w:rsid w:val="00080D3E"/>
    <w:rsid w:val="00095A78"/>
    <w:rsid w:val="00172A27"/>
    <w:rsid w:val="00207704"/>
    <w:rsid w:val="002667F3"/>
    <w:rsid w:val="002D6BEA"/>
    <w:rsid w:val="00317E6F"/>
    <w:rsid w:val="0032757C"/>
    <w:rsid w:val="00334286"/>
    <w:rsid w:val="00371007"/>
    <w:rsid w:val="003E50C5"/>
    <w:rsid w:val="004420C0"/>
    <w:rsid w:val="004D0DE3"/>
    <w:rsid w:val="00547070"/>
    <w:rsid w:val="005B17A7"/>
    <w:rsid w:val="00631E68"/>
    <w:rsid w:val="00673AD6"/>
    <w:rsid w:val="00722EA2"/>
    <w:rsid w:val="0075113A"/>
    <w:rsid w:val="007A4FBB"/>
    <w:rsid w:val="00894176"/>
    <w:rsid w:val="008E7C30"/>
    <w:rsid w:val="008F5AA9"/>
    <w:rsid w:val="009B55C3"/>
    <w:rsid w:val="009B66E2"/>
    <w:rsid w:val="009C583F"/>
    <w:rsid w:val="00A91F2C"/>
    <w:rsid w:val="00AF04A7"/>
    <w:rsid w:val="00AF062B"/>
    <w:rsid w:val="00B109BE"/>
    <w:rsid w:val="00B77B9B"/>
    <w:rsid w:val="00BB2929"/>
    <w:rsid w:val="00CA0ADF"/>
    <w:rsid w:val="00D962C0"/>
    <w:rsid w:val="00E374FC"/>
    <w:rsid w:val="00F27103"/>
    <w:rsid w:val="00F83C19"/>
    <w:rsid w:val="08BD7A8B"/>
    <w:rsid w:val="0C5F0F66"/>
    <w:rsid w:val="10C76D3A"/>
    <w:rsid w:val="12C64C2D"/>
    <w:rsid w:val="14313CF0"/>
    <w:rsid w:val="15782CA6"/>
    <w:rsid w:val="171F4A0B"/>
    <w:rsid w:val="184421FE"/>
    <w:rsid w:val="18F43C12"/>
    <w:rsid w:val="197818EF"/>
    <w:rsid w:val="1BD14649"/>
    <w:rsid w:val="22192222"/>
    <w:rsid w:val="22822970"/>
    <w:rsid w:val="26535247"/>
    <w:rsid w:val="28F53A51"/>
    <w:rsid w:val="298E32EC"/>
    <w:rsid w:val="2CD301D8"/>
    <w:rsid w:val="2D875813"/>
    <w:rsid w:val="2EC26D28"/>
    <w:rsid w:val="2F637226"/>
    <w:rsid w:val="310615FC"/>
    <w:rsid w:val="3740298A"/>
    <w:rsid w:val="3D717173"/>
    <w:rsid w:val="4097652A"/>
    <w:rsid w:val="48794813"/>
    <w:rsid w:val="4B143BFC"/>
    <w:rsid w:val="4BF83E18"/>
    <w:rsid w:val="4E555703"/>
    <w:rsid w:val="5F4B73B7"/>
    <w:rsid w:val="5FE5438B"/>
    <w:rsid w:val="607626EF"/>
    <w:rsid w:val="64821189"/>
    <w:rsid w:val="649345E0"/>
    <w:rsid w:val="64B54360"/>
    <w:rsid w:val="65096018"/>
    <w:rsid w:val="66075047"/>
    <w:rsid w:val="67580C13"/>
    <w:rsid w:val="67786081"/>
    <w:rsid w:val="69DD1073"/>
    <w:rsid w:val="6A82786C"/>
    <w:rsid w:val="6AE802A9"/>
    <w:rsid w:val="716C43AF"/>
    <w:rsid w:val="71B662EC"/>
    <w:rsid w:val="72D21FD4"/>
    <w:rsid w:val="73642A3F"/>
    <w:rsid w:val="78411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420C0"/>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4420C0"/>
    <w:pPr>
      <w:spacing w:before="61"/>
      <w:ind w:left="839" w:right="939"/>
      <w:jc w:val="center"/>
      <w:outlineLvl w:val="0"/>
    </w:pPr>
    <w:rPr>
      <w:sz w:val="30"/>
      <w:szCs w:val="30"/>
    </w:rPr>
  </w:style>
  <w:style w:type="paragraph" w:styleId="2">
    <w:name w:val="heading 2"/>
    <w:basedOn w:val="a"/>
    <w:next w:val="a"/>
    <w:uiPriority w:val="1"/>
    <w:qFormat/>
    <w:rsid w:val="004420C0"/>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420C0"/>
  </w:style>
  <w:style w:type="paragraph" w:styleId="a4">
    <w:name w:val="Body Text"/>
    <w:basedOn w:val="a"/>
    <w:uiPriority w:val="1"/>
    <w:qFormat/>
    <w:rsid w:val="004420C0"/>
    <w:pPr>
      <w:ind w:left="140"/>
    </w:pPr>
    <w:rPr>
      <w:sz w:val="24"/>
      <w:szCs w:val="24"/>
    </w:rPr>
  </w:style>
  <w:style w:type="paragraph" w:styleId="a5">
    <w:name w:val="Balloon Text"/>
    <w:basedOn w:val="a"/>
    <w:link w:val="Char0"/>
    <w:qFormat/>
    <w:rsid w:val="004420C0"/>
    <w:rPr>
      <w:sz w:val="18"/>
      <w:szCs w:val="18"/>
    </w:rPr>
  </w:style>
  <w:style w:type="paragraph" w:styleId="a6">
    <w:name w:val="footer"/>
    <w:basedOn w:val="a"/>
    <w:link w:val="Char1"/>
    <w:qFormat/>
    <w:rsid w:val="004420C0"/>
    <w:pPr>
      <w:tabs>
        <w:tab w:val="center" w:pos="4153"/>
        <w:tab w:val="right" w:pos="8306"/>
      </w:tabs>
      <w:snapToGrid w:val="0"/>
    </w:pPr>
    <w:rPr>
      <w:sz w:val="18"/>
      <w:szCs w:val="18"/>
    </w:rPr>
  </w:style>
  <w:style w:type="paragraph" w:styleId="a7">
    <w:name w:val="header"/>
    <w:basedOn w:val="a"/>
    <w:link w:val="Char2"/>
    <w:qFormat/>
    <w:rsid w:val="004420C0"/>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4420C0"/>
    <w:rPr>
      <w:b/>
      <w:bCs/>
    </w:rPr>
  </w:style>
  <w:style w:type="table" w:styleId="a9">
    <w:name w:val="Table Grid"/>
    <w:basedOn w:val="a1"/>
    <w:qFormat/>
    <w:rsid w:val="004420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4420C0"/>
    <w:rPr>
      <w:sz w:val="21"/>
      <w:szCs w:val="21"/>
    </w:rPr>
  </w:style>
  <w:style w:type="table" w:customStyle="1" w:styleId="TableNormal">
    <w:name w:val="Table Normal"/>
    <w:uiPriority w:val="2"/>
    <w:semiHidden/>
    <w:unhideWhenUsed/>
    <w:qFormat/>
    <w:rsid w:val="004420C0"/>
    <w:tblPr>
      <w:tblCellMar>
        <w:top w:w="0" w:type="dxa"/>
        <w:left w:w="0" w:type="dxa"/>
        <w:bottom w:w="0" w:type="dxa"/>
        <w:right w:w="0" w:type="dxa"/>
      </w:tblCellMar>
    </w:tblPr>
  </w:style>
  <w:style w:type="paragraph" w:styleId="ab">
    <w:name w:val="List Paragraph"/>
    <w:basedOn w:val="a"/>
    <w:uiPriority w:val="1"/>
    <w:qFormat/>
    <w:rsid w:val="004420C0"/>
    <w:pPr>
      <w:spacing w:before="1"/>
      <w:ind w:left="140" w:right="239" w:firstLine="480"/>
    </w:pPr>
  </w:style>
  <w:style w:type="paragraph" w:customStyle="1" w:styleId="TableParagraph">
    <w:name w:val="Table Paragraph"/>
    <w:basedOn w:val="a"/>
    <w:uiPriority w:val="1"/>
    <w:qFormat/>
    <w:rsid w:val="004420C0"/>
  </w:style>
  <w:style w:type="paragraph" w:customStyle="1" w:styleId="Default">
    <w:name w:val="Default"/>
    <w:uiPriority w:val="99"/>
    <w:unhideWhenUsed/>
    <w:qFormat/>
    <w:rsid w:val="004420C0"/>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4420C0"/>
    <w:rPr>
      <w:rFonts w:ascii="仿宋" w:eastAsia="仿宋" w:hAnsi="仿宋" w:cs="仿宋"/>
      <w:sz w:val="18"/>
      <w:szCs w:val="18"/>
      <w:lang w:val="zh-CN" w:bidi="zh-CN"/>
    </w:rPr>
  </w:style>
  <w:style w:type="character" w:customStyle="1" w:styleId="Char">
    <w:name w:val="批注文字 Char"/>
    <w:basedOn w:val="a0"/>
    <w:link w:val="a3"/>
    <w:qFormat/>
    <w:rsid w:val="004420C0"/>
    <w:rPr>
      <w:rFonts w:ascii="仿宋" w:eastAsia="仿宋" w:hAnsi="仿宋" w:cs="仿宋"/>
      <w:sz w:val="22"/>
      <w:szCs w:val="22"/>
      <w:lang w:val="zh-CN" w:bidi="zh-CN"/>
    </w:rPr>
  </w:style>
  <w:style w:type="character" w:customStyle="1" w:styleId="Char3">
    <w:name w:val="批注主题 Char"/>
    <w:basedOn w:val="Char"/>
    <w:link w:val="a8"/>
    <w:qFormat/>
    <w:rsid w:val="004420C0"/>
    <w:rPr>
      <w:rFonts w:ascii="仿宋" w:eastAsia="仿宋" w:hAnsi="仿宋" w:cs="仿宋"/>
      <w:b/>
      <w:bCs/>
      <w:sz w:val="22"/>
      <w:szCs w:val="22"/>
      <w:lang w:val="zh-CN" w:bidi="zh-CN"/>
    </w:rPr>
  </w:style>
  <w:style w:type="character" w:customStyle="1" w:styleId="Char2">
    <w:name w:val="页眉 Char"/>
    <w:basedOn w:val="a0"/>
    <w:link w:val="a7"/>
    <w:qFormat/>
    <w:rsid w:val="004420C0"/>
    <w:rPr>
      <w:rFonts w:ascii="仿宋" w:eastAsia="仿宋" w:hAnsi="仿宋" w:cs="仿宋"/>
      <w:sz w:val="18"/>
      <w:szCs w:val="18"/>
      <w:lang w:val="zh-CN" w:bidi="zh-CN"/>
    </w:rPr>
  </w:style>
  <w:style w:type="character" w:customStyle="1" w:styleId="Char1">
    <w:name w:val="页脚 Char"/>
    <w:basedOn w:val="a0"/>
    <w:link w:val="a6"/>
    <w:qFormat/>
    <w:rsid w:val="004420C0"/>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ient-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B66B-CC3A-4A70-A8C0-61907FF5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1180</Characters>
  <Application>Microsoft Office Word</Application>
  <DocSecurity>4</DocSecurity>
  <Lines>9</Lines>
  <Paragraphs>2</Paragraphs>
  <ScaleCrop>false</ScaleCrop>
  <Company>CNSTOCK</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2022-07-24T16:01:00Z</dcterms:created>
  <dcterms:modified xsi:type="dcterms:W3CDTF">2022-07-24T16:01:00Z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2052-11.1.0.11875</vt:lpwstr>
  </property>
  <property fmtid="{D5CDD505-2E9C-101B-9397-08002B2CF9AE}" pid="6" name="ICV">
    <vt:lpwstr>C2598E63EF654A9D9D4441CFD80768CC</vt:lpwstr>
  </property>
</Properties>
</file>