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3052C2"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汇添富基金管理股份有限公司旗下基金2022年第二季度报告提示性公告</w:t>
      </w:r>
    </w:p>
    <w:p w:rsidR="00D51C65" w:rsidRDefault="003052C2"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3052C2"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董事会及董事保证旗下基金2022年第二季度报告所载资料不存在虚假记载、误导性陈述或重大遗漏，并对其内容的真实性、准确性和完整性承担个别及连带责任。</w:t>
      </w:r>
    </w:p>
    <w:p w:rsidR="00313CBA" w:rsidRDefault="003052C2"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本公司旗下246只基金</w:t>
      </w:r>
      <w:r>
        <w:rPr>
          <w:rFonts w:ascii="宋体" w:eastAsia="宋体" w:hAnsi="宋体" w:cs="宋体" w:hint="eastAsia"/>
          <w:color w:val="000000" w:themeColor="text1"/>
          <w:kern w:val="0"/>
          <w:sz w:val="24"/>
          <w:szCs w:val="24"/>
        </w:rPr>
        <w:t>的2022年</w:t>
      </w:r>
      <w:r>
        <w:rPr>
          <w:rFonts w:ascii="宋体" w:eastAsia="宋体" w:hAnsi="宋体" w:cs="宋体"/>
          <w:color w:val="000000" w:themeColor="text1"/>
          <w:kern w:val="0"/>
          <w:sz w:val="24"/>
          <w:szCs w:val="24"/>
        </w:rPr>
        <w:t>第二季度报告</w:t>
      </w:r>
      <w:r>
        <w:rPr>
          <w:rFonts w:ascii="宋体" w:eastAsia="宋体" w:hAnsi="宋体" w:cs="宋体" w:hint="eastAsia"/>
          <w:color w:val="000000" w:themeColor="text1"/>
          <w:kern w:val="0"/>
          <w:sz w:val="24"/>
          <w:szCs w:val="24"/>
        </w:rPr>
        <w:t>全文于2022年07月21日在本公司网站（www.99fund.com）和中国证监会基金电子披露网站（</w:t>
      </w:r>
      <w:r>
        <w:rPr>
          <w:rFonts w:ascii="宋体" w:eastAsia="宋体" w:hAnsi="宋体" w:cs="宋体"/>
          <w:color w:val="000000" w:themeColor="text1"/>
          <w:kern w:val="0"/>
          <w:sz w:val="24"/>
          <w:szCs w:val="24"/>
        </w:rPr>
        <w:t>http://eid.csrc.gov.cn/fund）披露，供投资者查阅。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2D188B">
        <w:tc>
          <w:tcPr>
            <w:tcW w:w="1000" w:type="dxa"/>
            <w:shd w:val="clear" w:color="auto" w:fill="FFFFFF"/>
            <w:vAlign w:val="center"/>
          </w:tcPr>
          <w:p w:rsidR="00D51C65" w:rsidRDefault="003052C2"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深证300交易型开放式指数证券投资基金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汇添富深证300交易型开放式指数证券投资基金联接基金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汇添富6月红添利定期开放债券型证券投资基金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汇添富理财60天债券型证券投资基金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汇添富理财14天债券型证券投资基金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汇添富美丽30混合型证券投资基金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汇添富沪深300安中动态策略指数型证券投资基金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汇添富恒生指数型证券投资基金（QDII-LOF）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汇添富成长多因子量化策略股票型证券投资基金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sidRPr="003052C2">
              <w:rPr>
                <w:rFonts w:ascii="宋体" w:eastAsia="宋体" w:hAnsi="宋体" w:cs="宋体" w:hint="eastAsia"/>
                <w:color w:val="000000"/>
                <w:sz w:val="24"/>
                <w:szCs w:val="24"/>
              </w:rPr>
              <w:t>汇添富盈安灵活配置混合型证券投资基金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汇添富年年益定期开放混合型证券投资基金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sidRPr="003052C2">
              <w:rPr>
                <w:rFonts w:ascii="宋体" w:eastAsia="宋体" w:hAnsi="宋体" w:cs="宋体" w:hint="eastAsia"/>
                <w:color w:val="000000"/>
                <w:sz w:val="24"/>
                <w:szCs w:val="24"/>
              </w:rPr>
              <w:t>汇添富鑫汇定期开放债券型证券投资基金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汇添富沪深300指数增强型证券投资基金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汇添富养老目标日期2030三年持有期混合型基金中基金（FOF）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汇添富AAA级信用纯债债券型证券投资基金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汇添富养老目标日期2040五年持有期混合型基金中基金(FOF)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汇添富养老目标日期2050五年持有期混合型发起式基金中基金（FOF）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汇添富90天滚动持有短债债券型证券投资基金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汇添富3年封闭运作竞争优势灵活配置混合型证券投资基金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汇添富盛安39个月定期开放债券型证券投资基金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中证800交易型开放式指数证券投资基金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汇添富中债7-10年国开行债券指数证券投资基金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汇添富策略增长两年封闭运作灵活配置混合型证券投资基金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汇添富科创板2年定期开放混合型证券投资基金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sidRPr="003052C2">
              <w:rPr>
                <w:rFonts w:ascii="宋体" w:eastAsia="宋体" w:hAnsi="宋体" w:cs="宋体" w:hint="eastAsia"/>
                <w:color w:val="000000"/>
                <w:sz w:val="24"/>
                <w:szCs w:val="24"/>
              </w:rPr>
              <w:t>汇添富创新未来混合型证券投资基金（LOF）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汇添富盛和66个月定期开放债券型证券投资基金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汇添富高质量成长精选2年持有期混合型证券投资基金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汇添富沪深300基本面增强指数型证券投资基金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汇添富高质量成长30一年持有期混合型证券投资基金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汇添富ESG可持续成长股票型证券投资基金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汇添富稳利60天滚动持有短债债券型证券投资基金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sidRPr="003052C2">
              <w:rPr>
                <w:rFonts w:ascii="宋体" w:eastAsia="宋体" w:hAnsi="宋体" w:cs="宋体" w:hint="eastAsia"/>
                <w:color w:val="000000"/>
                <w:sz w:val="24"/>
                <w:szCs w:val="24"/>
              </w:rPr>
              <w:t>汇添富中证电池主题交易型开放式指数证券投资基</w:t>
            </w:r>
            <w:bookmarkStart w:id="0" w:name="_GoBack"/>
            <w:bookmarkEnd w:id="0"/>
            <w:r w:rsidRPr="003052C2">
              <w:rPr>
                <w:rFonts w:ascii="宋体" w:eastAsia="宋体" w:hAnsi="宋体" w:cs="宋体" w:hint="eastAsia"/>
                <w:color w:val="000000"/>
                <w:sz w:val="24"/>
                <w:szCs w:val="24"/>
              </w:rPr>
              <w:t>金发起式联接基金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汇添富中证500基本面增强指数型证券投资基金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汇添富中证800交易型开放式指数证券投资基金联接基金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汇添富稳鑫120天滚动持有债券型证券投资基金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汇添富恒生科技指数型发起式证券投资基金（QDII）</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汇添富中债-市场隐含评级AA+及以上信用债（1-3年）指数发起式证券投资基金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汇添富上证50基本面增强指数型证券投资基金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汇添富稳福60天滚动持有中短债债券型证券投资基金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汇添富积极回报一年持有期混合型基金中基金（FOF）</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汇添富中证科创创业50指数增强型发起式证券投资基金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汇添富中证人工智能主题交易型开放式指数证券投资基金联接基金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汇添富中证沪港深张江自主创新50交易型开放式指数证券投资基金</w:t>
            </w:r>
          </w:p>
        </w:tc>
      </w:tr>
      <w:tr w:rsidR="002D188B">
        <w:tc>
          <w:tcPr>
            <w:tcW w:w="1000" w:type="dxa"/>
            <w:shd w:val="clear" w:color="auto" w:fill="FFFFFF"/>
            <w:vAlign w:val="center"/>
          </w:tcPr>
          <w:p w:rsidR="00D51C65" w:rsidRDefault="003052C2"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3052C2"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bl>
    <w:p w:rsidR="00D51C65" w:rsidRDefault="00D51C65" w:rsidP="00D51C65">
      <w:pPr>
        <w:rPr>
          <w:rFonts w:ascii="宋体" w:eastAsia="宋体" w:hAnsi="宋体"/>
          <w:color w:val="000000" w:themeColor="text1"/>
          <w:sz w:val="24"/>
          <w:szCs w:val="24"/>
        </w:rPr>
      </w:pPr>
    </w:p>
    <w:p w:rsidR="00D51C65" w:rsidRPr="00D51C65" w:rsidRDefault="003052C2"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3052C2"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3052C2"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3052C2"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3052C2"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2022年07月21日</w:t>
      </w:r>
    </w:p>
    <w:sectPr w:rsidR="00D51C65" w:rsidRPr="00D51C65" w:rsidSect="00B056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2D188B"/>
    <w:rsid w:val="003052C2"/>
    <w:rsid w:val="00313CBA"/>
    <w:rsid w:val="003304FD"/>
    <w:rsid w:val="004831CD"/>
    <w:rsid w:val="00556C0A"/>
    <w:rsid w:val="007818DC"/>
    <w:rsid w:val="007E584E"/>
    <w:rsid w:val="00B0567F"/>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4</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2022-07-20T16:03:00Z</dcterms:created>
  <dcterms:modified xsi:type="dcterms:W3CDTF">2022-07-20T16:03:00Z</dcterms:modified>
</cp:coreProperties>
</file>