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9E4DAA">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9E4DAA">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2022</w:t>
      </w:r>
      <w:r w:rsidR="00144973">
        <w:rPr>
          <w:rFonts w:ascii="仿宋" w:eastAsia="仿宋" w:hAnsi="仿宋"/>
          <w:b/>
          <w:color w:val="000000" w:themeColor="text1"/>
          <w:sz w:val="32"/>
          <w:szCs w:val="32"/>
        </w:rPr>
        <w:t>年</w:t>
      </w:r>
      <w:r w:rsidR="000A3A40">
        <w:rPr>
          <w:rFonts w:ascii="仿宋" w:eastAsia="仿宋" w:hAnsi="仿宋" w:hint="eastAsia"/>
          <w:b/>
          <w:color w:val="000000" w:themeColor="text1"/>
          <w:sz w:val="32"/>
          <w:szCs w:val="32"/>
        </w:rPr>
        <w:t>第</w:t>
      </w:r>
      <w:r w:rsidR="00D24E50">
        <w:rPr>
          <w:rFonts w:ascii="仿宋" w:eastAsia="仿宋" w:hAnsi="仿宋" w:hint="eastAsia"/>
          <w:b/>
          <w:color w:val="000000" w:themeColor="text1"/>
          <w:sz w:val="32"/>
          <w:szCs w:val="32"/>
        </w:rPr>
        <w:t>2</w:t>
      </w:r>
      <w:r w:rsidR="000A3A40">
        <w:rPr>
          <w:rFonts w:ascii="仿宋" w:eastAsia="仿宋" w:hAnsi="仿宋" w:hint="eastAsia"/>
          <w:b/>
          <w:color w:val="000000" w:themeColor="text1"/>
          <w:sz w:val="32"/>
          <w:szCs w:val="32"/>
        </w:rPr>
        <w:t>季度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9E4DAA">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D24E50">
        <w:rPr>
          <w:rFonts w:ascii="仿宋" w:eastAsia="仿宋" w:hAnsi="仿宋" w:hint="eastAsia"/>
          <w:color w:val="000000" w:themeColor="text1"/>
          <w:sz w:val="32"/>
          <w:szCs w:val="32"/>
        </w:rPr>
        <w:t>2</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color w:val="000000" w:themeColor="text1"/>
          <w:sz w:val="32"/>
          <w:szCs w:val="32"/>
        </w:rPr>
        <w:t>第</w:t>
      </w:r>
      <w:r w:rsidR="00D24E50">
        <w:rPr>
          <w:rFonts w:ascii="仿宋" w:eastAsia="仿宋" w:hAnsi="仿宋" w:hint="eastAsia"/>
          <w:color w:val="000000" w:themeColor="text1"/>
          <w:sz w:val="32"/>
          <w:szCs w:val="32"/>
        </w:rPr>
        <w:t>2</w:t>
      </w:r>
      <w:r w:rsidR="000A3A40">
        <w:rPr>
          <w:rFonts w:ascii="仿宋" w:eastAsia="仿宋" w:hAnsi="仿宋"/>
          <w:color w:val="000000" w:themeColor="text1"/>
          <w:sz w:val="32"/>
          <w:szCs w:val="32"/>
        </w:rPr>
        <w:t>季度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Style w:val="ad"/>
        <w:tblW w:w="5000" w:type="pct"/>
        <w:tblLook w:val="04A0"/>
      </w:tblPr>
      <w:tblGrid>
        <w:gridCol w:w="723"/>
        <w:gridCol w:w="8223"/>
      </w:tblGrid>
      <w:tr w:rsidR="008A6309" w:rsidRPr="008A6309" w:rsidTr="008A6309">
        <w:trPr>
          <w:trHeight w:val="402"/>
        </w:trPr>
        <w:tc>
          <w:tcPr>
            <w:tcW w:w="404" w:type="pct"/>
          </w:tcPr>
          <w:p w:rsidR="008A6309" w:rsidRPr="008A6309" w:rsidRDefault="008A6309" w:rsidP="00FA0FF1">
            <w:pPr>
              <w:widowControl/>
              <w:jc w:val="left"/>
              <w:rPr>
                <w:rFonts w:ascii="仿宋" w:eastAsia="仿宋" w:hAnsi="仿宋" w:cs="Arial"/>
                <w:kern w:val="0"/>
                <w:sz w:val="24"/>
                <w:szCs w:val="24"/>
              </w:rPr>
            </w:pPr>
            <w:r w:rsidRPr="008A6309">
              <w:rPr>
                <w:rFonts w:ascii="仿宋" w:eastAsia="仿宋" w:hAnsi="仿宋" w:cs="Arial" w:hint="eastAsia"/>
                <w:kern w:val="0"/>
                <w:sz w:val="24"/>
                <w:szCs w:val="24"/>
              </w:rPr>
              <w:t>序号</w:t>
            </w:r>
          </w:p>
        </w:tc>
        <w:tc>
          <w:tcPr>
            <w:tcW w:w="4596" w:type="pct"/>
          </w:tcPr>
          <w:p w:rsidR="008A6309" w:rsidRPr="008A6309" w:rsidRDefault="008A6309" w:rsidP="00FA0FF1">
            <w:pPr>
              <w:widowControl/>
              <w:jc w:val="left"/>
              <w:rPr>
                <w:rFonts w:ascii="仿宋" w:eastAsia="仿宋" w:hAnsi="仿宋" w:cs="Arial"/>
                <w:kern w:val="0"/>
                <w:sz w:val="24"/>
                <w:szCs w:val="24"/>
              </w:rPr>
            </w:pPr>
            <w:r w:rsidRPr="008A6309">
              <w:rPr>
                <w:rFonts w:ascii="仿宋" w:eastAsia="仿宋" w:hAnsi="仿宋" w:cs="Arial" w:hint="eastAsia"/>
                <w:kern w:val="0"/>
                <w:sz w:val="24"/>
                <w:szCs w:val="24"/>
              </w:rPr>
              <w:t>基金全称</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平安日增利货币市场基金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平安财富宝货币市场基金</w:t>
            </w:r>
          </w:p>
        </w:tc>
      </w:tr>
      <w:tr w:rsidR="008A6309" w:rsidRPr="008A6309" w:rsidTr="008A6309">
        <w:trPr>
          <w:trHeight w:val="408"/>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平安新鑫先锋混合型证券投资基金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平安智慧中国灵活配置混合型证券投资基金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平安鑫享混合型证券投资基金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平安安享灵活配置混合型证券投资基金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平安安盈灵活配置混合型证券投资基金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平安惠盈纯债债券型证券投资基金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平安消费精选混合型证券投资基金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平安鼎信债券型证券投资基金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平安鼎泰灵活配置混合型证券投资基金(LOF)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平安惠享纯债债券型证券投资基金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lastRenderedPageBreak/>
              <w:t>14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平安惠融纯债债券型证券投资基金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平安惠金定期开放债券型证券投资基金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平安惠利纯债债券型证券投资基金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平安惠隆纯债债券型证券投资基金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平安金管家货币市场基金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19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平安鑫利灵活配置混合型证券投资基金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平安转型创新灵活配置混合型证券投资基金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平安惠泽纯债债券型证券投资基金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平安沪深300指数量化增强证券投资基金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平安合正定期开放纯债债券型发起式证券投资基金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平安中证500交易型开放式指数证券投资基金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平安合瑞定期开放债券型发起式证券投资基金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平安合韵定期开放纯债债券型发起式证券投资基金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平安MSCI中国A股低波动交易型开放式指数证券投资基金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平安合悦</w:t>
            </w:r>
            <w:bookmarkStart w:id="0" w:name="_GoBack"/>
            <w:bookmarkEnd w:id="0"/>
            <w:r w:rsidRPr="008A6309">
              <w:rPr>
                <w:rFonts w:ascii="仿宋" w:eastAsia="仿宋" w:hAnsi="仿宋" w:cs="Arial" w:hint="eastAsia"/>
                <w:color w:val="000000"/>
                <w:sz w:val="24"/>
                <w:szCs w:val="24"/>
              </w:rPr>
              <w:t>定期开放债券型发起式证券投资基金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29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平安中证500交易型开放式指数证券投资基金联接基金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平安合颖定期开放纯债债券型发起式证券投资基金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平安惠锦纯债债券型证券投资基金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平安中证5-10年期国债活跃券交易型开放式指数证券投资基金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平安中债-中高等级公司债利差因子交易型开放式指数证券投资基金</w:t>
            </w:r>
          </w:p>
        </w:tc>
      </w:tr>
      <w:tr w:rsidR="008A6309" w:rsidRPr="008A6309" w:rsidTr="008A6309">
        <w:trPr>
          <w:trHeight w:val="37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平安惠诚纯债债券型证券投资基金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lastRenderedPageBreak/>
              <w:t>35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平安惠鸿纯债债券型证券投资基金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平安3-5年期政策性金融债债券型证券投资基金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平安季添盈三个月定期开放债券型证券投资基金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平安惠泰纯债债券型证券投资基金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39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平安养老目标日期2035三年持有期混合型基金中基金(FOF)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平安惠添纯债债券型证券投资基金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平安季开鑫三个月定期开放债券型证券投资基金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平安季享裕三个月定期开放债券型证券投资基金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平安惠文纯债债券型证券投资基金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平安惠合纯债债券型证券投资基金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平安乐顺39个月定期开放债券型证券投资基金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平安中证新能源汽车产业交易型开放式指数证券投资基金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平安科技创新混合型证券投资基金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平安元盛超短债债券型证券投资基金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49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平安合聚1年定期开放债券型发起式证券投资基金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平安科技创新3年封闭运作灵活配置混合型证券投资基金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平安合享1年定期开放债券型发起式证券投资基金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平安增鑫六个月定期开放债券型证券投资基金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平安合兴1年定期开放债券型发起式证券投资基金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平安中债1-5年政策性金融债指数证券投资基金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平安瑞尚六个月持有期混合型证券投资基金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平安稳健增长混合型证券投资基金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平安中证光伏产业交易型开放式指数证券投资基金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平安中证畜牧养殖交易型开放式指数证券投资基金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59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平安季季享3个月持有期债券型证券投资基金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平安养老目标日期2045五年持有期混合型发起式基金中基金(FOF)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平安稳健养老目标一年持有期混合型基金中基金(FOF)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平安广州交投广河高速公路封闭式基础设施证券投资基金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平安中证新能源汽车产业交易型开放式指数证券投资基金发起式联接基金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64</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平安睿享成长混合型证券投资基金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65</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平安优势回报1年持有期混合型证券投资基金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66</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平安盈盛稳健配置三个月持有期债券型基金中基金(FOF)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67</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平安中证消费电子主题交易型开放式指数证券投资基金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68</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平安双季盈6个月持有期债券型证券投资基金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69</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平安元鑫120天滚动持有中短债债券型证券投资基金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70</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平安中证港股通医药卫生综合交易型开放式指数证券投资基金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71</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平安富时中国国企开放共赢交易型开放式指数证券投资基金</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72</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color w:val="000000"/>
                <w:sz w:val="24"/>
                <w:szCs w:val="24"/>
              </w:rPr>
              <w:t>平安盈禧均衡配置1年持有期混合型基金中基金（FOF）</w:t>
            </w:r>
          </w:p>
        </w:tc>
      </w:tr>
      <w:tr w:rsidR="008A6309" w:rsidRPr="008A6309" w:rsidTr="008A6309">
        <w:trPr>
          <w:trHeight w:val="402"/>
        </w:trPr>
        <w:tc>
          <w:tcPr>
            <w:tcW w:w="404"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73</w:t>
            </w:r>
          </w:p>
        </w:tc>
        <w:tc>
          <w:tcPr>
            <w:tcW w:w="4596" w:type="pct"/>
          </w:tcPr>
          <w:p w:rsidR="008A6309" w:rsidRPr="008A6309" w:rsidRDefault="008A6309" w:rsidP="008A6309">
            <w:pPr>
              <w:widowControl/>
              <w:jc w:val="left"/>
              <w:rPr>
                <w:rFonts w:ascii="仿宋" w:eastAsia="仿宋" w:hAnsi="仿宋" w:cs="Arial"/>
                <w:kern w:val="0"/>
                <w:sz w:val="24"/>
                <w:szCs w:val="24"/>
              </w:rPr>
            </w:pPr>
            <w:r w:rsidRPr="008A6309">
              <w:rPr>
                <w:rFonts w:ascii="仿宋" w:eastAsia="仿宋" w:hAnsi="仿宋" w:cs="Arial" w:hint="eastAsia"/>
                <w:sz w:val="24"/>
                <w:szCs w:val="24"/>
              </w:rPr>
              <w:t>平安上海金交易型开放式证券投资基金</w:t>
            </w:r>
          </w:p>
        </w:tc>
      </w:tr>
    </w:tbl>
    <w:p w:rsidR="00FA0FF1" w:rsidRPr="00FA0FF1" w:rsidRDefault="00FA0FF1" w:rsidP="00D13BEE">
      <w:pPr>
        <w:spacing w:line="540" w:lineRule="exact"/>
        <w:ind w:firstLineChars="200" w:firstLine="640"/>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0A3A40">
        <w:rPr>
          <w:rFonts w:ascii="仿宋" w:eastAsia="仿宋" w:hAnsi="仿宋" w:hint="eastAsia"/>
          <w:color w:val="000000" w:themeColor="text1"/>
          <w:sz w:val="32"/>
          <w:szCs w:val="32"/>
        </w:rPr>
        <w:t>第</w:t>
      </w:r>
      <w:r w:rsidR="00FA0FF1">
        <w:rPr>
          <w:rFonts w:ascii="仿宋" w:eastAsia="仿宋" w:hAnsi="仿宋" w:hint="eastAsia"/>
          <w:color w:val="000000" w:themeColor="text1"/>
          <w:sz w:val="32"/>
          <w:szCs w:val="32"/>
        </w:rPr>
        <w:t>2</w:t>
      </w:r>
      <w:r w:rsidR="000A3A40">
        <w:rPr>
          <w:rFonts w:ascii="仿宋" w:eastAsia="仿宋" w:hAnsi="仿宋" w:hint="eastAsia"/>
          <w:color w:val="000000" w:themeColor="text1"/>
          <w:sz w:val="32"/>
          <w:szCs w:val="32"/>
        </w:rPr>
        <w:t>季度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BB3501" w:rsidRPr="000076CF">
        <w:rPr>
          <w:rFonts w:ascii="仿宋" w:eastAsia="仿宋" w:hAnsi="仿宋" w:hint="eastAsia"/>
          <w:color w:val="000000" w:themeColor="text1"/>
          <w:sz w:val="32"/>
          <w:szCs w:val="32"/>
        </w:rPr>
        <w:t>年</w:t>
      </w:r>
      <w:r w:rsidR="00FA0FF1">
        <w:rPr>
          <w:rFonts w:ascii="仿宋" w:eastAsia="仿宋" w:hAnsi="仿宋" w:hint="eastAsia"/>
          <w:color w:val="000000" w:themeColor="text1"/>
          <w:sz w:val="32"/>
          <w:szCs w:val="32"/>
        </w:rPr>
        <w:t>7</w:t>
      </w:r>
      <w:r w:rsidR="00B700C5">
        <w:rPr>
          <w:rFonts w:ascii="仿宋" w:eastAsia="仿宋" w:hAnsi="仿宋"/>
          <w:color w:val="000000" w:themeColor="text1"/>
          <w:sz w:val="32"/>
          <w:szCs w:val="32"/>
        </w:rPr>
        <w:t>月</w:t>
      </w:r>
      <w:r w:rsidR="00E0267D">
        <w:rPr>
          <w:rFonts w:ascii="仿宋" w:eastAsia="仿宋" w:hAnsi="仿宋"/>
          <w:color w:val="000000" w:themeColor="text1"/>
          <w:sz w:val="32"/>
          <w:szCs w:val="32"/>
        </w:rPr>
        <w:t>2</w:t>
      </w:r>
      <w:r w:rsidR="008A6309">
        <w:rPr>
          <w:rFonts w:ascii="仿宋" w:eastAsia="仿宋" w:hAnsi="仿宋" w:hint="eastAsia"/>
          <w:color w:val="000000" w:themeColor="text1"/>
          <w:sz w:val="32"/>
          <w:szCs w:val="32"/>
        </w:rPr>
        <w:t>1</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5849C8">
        <w:rPr>
          <w:rFonts w:ascii="仿宋" w:eastAsia="仿宋" w:hAnsi="仿宋"/>
          <w:color w:val="000000" w:themeColor="text1"/>
          <w:sz w:val="32"/>
          <w:szCs w:val="32"/>
        </w:rPr>
        <w:t>2</w:t>
      </w:r>
      <w:r w:rsidR="00544385" w:rsidRPr="000076CF">
        <w:rPr>
          <w:rFonts w:ascii="仿宋" w:eastAsia="仿宋" w:hAnsi="仿宋" w:hint="eastAsia"/>
          <w:color w:val="000000" w:themeColor="text1"/>
          <w:sz w:val="32"/>
          <w:szCs w:val="32"/>
        </w:rPr>
        <w:t>年</w:t>
      </w:r>
      <w:r w:rsidR="00FA0FF1">
        <w:rPr>
          <w:rFonts w:ascii="仿宋" w:eastAsia="仿宋" w:hAnsi="仿宋" w:hint="eastAsia"/>
          <w:color w:val="000000" w:themeColor="text1"/>
          <w:sz w:val="32"/>
          <w:szCs w:val="32"/>
        </w:rPr>
        <w:t>7</w:t>
      </w:r>
      <w:r w:rsidR="00544385">
        <w:rPr>
          <w:rFonts w:ascii="仿宋" w:eastAsia="仿宋" w:hAnsi="仿宋" w:hint="eastAsia"/>
          <w:color w:val="000000" w:themeColor="text1"/>
          <w:sz w:val="32"/>
          <w:szCs w:val="32"/>
        </w:rPr>
        <w:t>月</w:t>
      </w:r>
      <w:r w:rsidR="00FA0FF1">
        <w:rPr>
          <w:rFonts w:ascii="仿宋" w:eastAsia="仿宋" w:hAnsi="仿宋" w:hint="eastAsia"/>
          <w:color w:val="000000" w:themeColor="text1"/>
          <w:sz w:val="32"/>
          <w:szCs w:val="32"/>
        </w:rPr>
        <w:t>2</w:t>
      </w:r>
      <w:r w:rsidR="008A6309">
        <w:rPr>
          <w:rFonts w:ascii="仿宋" w:eastAsia="仿宋" w:hAnsi="仿宋" w:hint="eastAsia"/>
          <w:color w:val="000000" w:themeColor="text1"/>
          <w:sz w:val="32"/>
          <w:szCs w:val="32"/>
        </w:rPr>
        <w:t>1</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62" w:rsidRDefault="008C5562" w:rsidP="009A149B">
      <w:r>
        <w:separator/>
      </w:r>
    </w:p>
  </w:endnote>
  <w:endnote w:type="continuationSeparator" w:id="0">
    <w:p w:rsidR="008C5562" w:rsidRDefault="008C556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986061">
        <w:pPr>
          <w:pStyle w:val="a4"/>
          <w:jc w:val="center"/>
        </w:pPr>
        <w:r>
          <w:fldChar w:fldCharType="begin"/>
        </w:r>
        <w:r w:rsidR="000C7FA0">
          <w:instrText>PAGE   \* MERGEFORMAT</w:instrText>
        </w:r>
        <w:r>
          <w:fldChar w:fldCharType="separate"/>
        </w:r>
        <w:r w:rsidR="009E4DAA" w:rsidRPr="009E4DAA">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986061">
        <w:pPr>
          <w:pStyle w:val="a4"/>
          <w:jc w:val="center"/>
        </w:pPr>
        <w:r>
          <w:fldChar w:fldCharType="begin"/>
        </w:r>
        <w:r w:rsidR="000C7FA0">
          <w:instrText>PAGE   \* MERGEFORMAT</w:instrText>
        </w:r>
        <w:r>
          <w:fldChar w:fldCharType="separate"/>
        </w:r>
        <w:r w:rsidR="009E4DAA" w:rsidRPr="009E4DAA">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62" w:rsidRDefault="008C5562" w:rsidP="009A149B">
      <w:r>
        <w:separator/>
      </w:r>
    </w:p>
  </w:footnote>
  <w:footnote w:type="continuationSeparator" w:id="0">
    <w:p w:rsidR="008C5562" w:rsidRDefault="008C556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7FA0"/>
    <w:rsid w:val="000D18EF"/>
    <w:rsid w:val="000E13E9"/>
    <w:rsid w:val="000E7D66"/>
    <w:rsid w:val="000F07E6"/>
    <w:rsid w:val="000F407E"/>
    <w:rsid w:val="000F6458"/>
    <w:rsid w:val="001039BC"/>
    <w:rsid w:val="00123265"/>
    <w:rsid w:val="001279BE"/>
    <w:rsid w:val="0013251E"/>
    <w:rsid w:val="001445A9"/>
    <w:rsid w:val="00144973"/>
    <w:rsid w:val="00146307"/>
    <w:rsid w:val="001533B2"/>
    <w:rsid w:val="001623CF"/>
    <w:rsid w:val="00165D5C"/>
    <w:rsid w:val="00166B15"/>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4B0"/>
    <w:rsid w:val="00382BCB"/>
    <w:rsid w:val="00391944"/>
    <w:rsid w:val="00393949"/>
    <w:rsid w:val="003948AF"/>
    <w:rsid w:val="00394BBC"/>
    <w:rsid w:val="003A4AC6"/>
    <w:rsid w:val="003A6F7F"/>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41CEA"/>
    <w:rsid w:val="0065080E"/>
    <w:rsid w:val="00655229"/>
    <w:rsid w:val="00656B0C"/>
    <w:rsid w:val="0066309A"/>
    <w:rsid w:val="0066627D"/>
    <w:rsid w:val="00681348"/>
    <w:rsid w:val="006832A2"/>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A6309"/>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061"/>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DAA"/>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4768"/>
    <w:rsid w:val="00DB6F0A"/>
    <w:rsid w:val="00DD7BAA"/>
    <w:rsid w:val="00DE0FFA"/>
    <w:rsid w:val="00DE6A70"/>
    <w:rsid w:val="00DF3DF3"/>
    <w:rsid w:val="00DF5AA8"/>
    <w:rsid w:val="00E0267D"/>
    <w:rsid w:val="00E11D7D"/>
    <w:rsid w:val="00E1254C"/>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28FA-16ED-4E1F-9705-0B892583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2016</Characters>
  <Application>Microsoft Office Word</Application>
  <DocSecurity>4</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2022-07-20T16:04:00Z</dcterms:created>
  <dcterms:modified xsi:type="dcterms:W3CDTF">2022-07-20T16:04:00Z</dcterms:modified>
</cp:coreProperties>
</file>