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D1" w:rsidRDefault="001F5CF4">
      <w:pPr>
        <w:adjustRightInd w:val="0"/>
        <w:snapToGrid w:val="0"/>
        <w:spacing w:line="360" w:lineRule="auto"/>
        <w:jc w:val="center"/>
        <w:rPr>
          <w:rFonts w:ascii="Arial" w:hAnsi="宋体" w:cs="Arial"/>
          <w:b/>
          <w:sz w:val="28"/>
          <w:szCs w:val="28"/>
        </w:rPr>
      </w:pPr>
      <w:r>
        <w:rPr>
          <w:rFonts w:ascii="Arial" w:hAnsi="宋体" w:cs="Arial"/>
          <w:b/>
          <w:sz w:val="28"/>
          <w:szCs w:val="28"/>
        </w:rPr>
        <w:t>关于</w:t>
      </w:r>
      <w:r>
        <w:rPr>
          <w:rFonts w:ascii="Arial" w:hAnsi="宋体" w:cs="Arial" w:hint="eastAsia"/>
          <w:b/>
          <w:sz w:val="28"/>
          <w:szCs w:val="28"/>
        </w:rPr>
        <w:t>博时旗下部分开放式基金增加贵州银行股份有限公司为代销机构并参加其费率优惠活动的公告</w:t>
      </w:r>
    </w:p>
    <w:p w:rsidR="005D29D1" w:rsidRDefault="005D29D1">
      <w:pPr>
        <w:adjustRightInd w:val="0"/>
        <w:snapToGrid w:val="0"/>
        <w:spacing w:line="360" w:lineRule="auto"/>
        <w:jc w:val="center"/>
        <w:rPr>
          <w:rFonts w:ascii="Arial" w:hAnsi="宋体" w:cs="Arial"/>
          <w:kern w:val="0"/>
          <w:sz w:val="24"/>
        </w:rPr>
      </w:pPr>
    </w:p>
    <w:p w:rsidR="005D29D1" w:rsidRDefault="001F5CF4">
      <w:pPr>
        <w:adjustRightInd w:val="0"/>
        <w:snapToGrid w:val="0"/>
        <w:spacing w:line="360" w:lineRule="auto"/>
        <w:ind w:firstLineChars="200" w:firstLine="420"/>
        <w:rPr>
          <w:rFonts w:ascii="Arial" w:hAnsi="宋体" w:cs="Arial"/>
          <w:kern w:val="0"/>
          <w:szCs w:val="21"/>
        </w:rPr>
      </w:pPr>
      <w:r>
        <w:rPr>
          <w:rFonts w:ascii="宋体" w:hAnsi="宋体" w:cs="Arial"/>
          <w:kern w:val="0"/>
          <w:szCs w:val="21"/>
        </w:rPr>
        <w:t>根据博时基金管理有限公司</w:t>
      </w:r>
      <w:r>
        <w:rPr>
          <w:rFonts w:ascii="宋体" w:hAnsi="宋体" w:cs="Arial" w:hint="eastAsia"/>
          <w:kern w:val="0"/>
          <w:szCs w:val="21"/>
        </w:rPr>
        <w:t>（以下简称</w:t>
      </w:r>
      <w:r>
        <w:rPr>
          <w:rFonts w:ascii="宋体" w:hAnsi="宋体" w:cs="Arial"/>
          <w:kern w:val="0"/>
          <w:szCs w:val="21"/>
        </w:rPr>
        <w:t>“</w:t>
      </w:r>
      <w:r>
        <w:rPr>
          <w:rFonts w:ascii="宋体" w:hAnsi="宋体" w:cs="Arial" w:hint="eastAsia"/>
          <w:kern w:val="0"/>
          <w:szCs w:val="21"/>
        </w:rPr>
        <w:t>本公司</w:t>
      </w:r>
      <w:r>
        <w:rPr>
          <w:rFonts w:ascii="宋体" w:hAnsi="宋体" w:cs="Arial"/>
          <w:kern w:val="0"/>
          <w:szCs w:val="21"/>
        </w:rPr>
        <w:t>”</w:t>
      </w:r>
      <w:r>
        <w:rPr>
          <w:rFonts w:ascii="宋体" w:hAnsi="宋体" w:cs="Arial" w:hint="eastAsia"/>
          <w:kern w:val="0"/>
          <w:szCs w:val="21"/>
        </w:rPr>
        <w:t>）</w:t>
      </w:r>
      <w:r>
        <w:rPr>
          <w:rFonts w:ascii="宋体" w:hAnsi="宋体" w:cs="Arial"/>
          <w:kern w:val="0"/>
          <w:szCs w:val="21"/>
        </w:rPr>
        <w:t>与</w:t>
      </w:r>
      <w:r>
        <w:rPr>
          <w:rFonts w:ascii="宋体" w:hAnsi="宋体" w:cs="Arial" w:hint="eastAsia"/>
          <w:kern w:val="0"/>
          <w:szCs w:val="21"/>
        </w:rPr>
        <w:t>贵州银行股份有限公司（以下简称“贵州银行”）</w:t>
      </w:r>
      <w:r>
        <w:rPr>
          <w:rFonts w:ascii="宋体" w:hAnsi="宋体" w:cs="Arial"/>
          <w:kern w:val="0"/>
          <w:szCs w:val="21"/>
        </w:rPr>
        <w:t>签署的代理销售服务协议</w:t>
      </w:r>
      <w:r>
        <w:rPr>
          <w:rFonts w:ascii="宋体" w:hAnsi="宋体" w:cs="Arial" w:hint="eastAsia"/>
          <w:kern w:val="0"/>
          <w:szCs w:val="21"/>
        </w:rPr>
        <w:t>，</w:t>
      </w:r>
      <w:r>
        <w:rPr>
          <w:rFonts w:ascii="宋体" w:hAnsi="宋体" w:cs="Arial"/>
          <w:kern w:val="0"/>
          <w:szCs w:val="21"/>
        </w:rPr>
        <w:t>自</w:t>
      </w:r>
      <w:r>
        <w:rPr>
          <w:rFonts w:ascii="宋体" w:hAnsi="宋体" w:cs="Arial" w:hint="eastAsia"/>
          <w:kern w:val="0"/>
          <w:szCs w:val="21"/>
        </w:rPr>
        <w:t>202</w:t>
      </w:r>
      <w:r>
        <w:rPr>
          <w:rFonts w:ascii="宋体" w:hAnsi="宋体" w:cs="Arial" w:hint="eastAsia"/>
          <w:kern w:val="0"/>
          <w:szCs w:val="21"/>
        </w:rPr>
        <w:t>2</w:t>
      </w:r>
      <w:r>
        <w:rPr>
          <w:rFonts w:ascii="宋体" w:hAnsi="宋体" w:cs="Arial"/>
          <w:kern w:val="0"/>
          <w:szCs w:val="21"/>
        </w:rPr>
        <w:t>年</w:t>
      </w:r>
      <w:r>
        <w:rPr>
          <w:rFonts w:ascii="宋体" w:hAnsi="宋体" w:cs="Arial" w:hint="eastAsia"/>
          <w:kern w:val="0"/>
          <w:szCs w:val="21"/>
        </w:rPr>
        <w:t>7</w:t>
      </w:r>
      <w:r>
        <w:rPr>
          <w:rFonts w:ascii="宋体" w:hAnsi="宋体" w:cs="Arial"/>
          <w:kern w:val="0"/>
          <w:szCs w:val="21"/>
        </w:rPr>
        <w:t>月</w:t>
      </w:r>
      <w:r>
        <w:rPr>
          <w:rFonts w:ascii="宋体" w:hAnsi="宋体" w:cs="Arial" w:hint="eastAsia"/>
          <w:kern w:val="0"/>
          <w:szCs w:val="21"/>
        </w:rPr>
        <w:t>21</w:t>
      </w:r>
      <w:r>
        <w:rPr>
          <w:rFonts w:ascii="宋体" w:hAnsi="宋体" w:cs="Arial"/>
          <w:kern w:val="0"/>
          <w:szCs w:val="21"/>
        </w:rPr>
        <w:t>日起</w:t>
      </w:r>
      <w:r>
        <w:rPr>
          <w:rFonts w:ascii="宋体" w:hAnsi="宋体" w:cs="Arial" w:hint="eastAsia"/>
          <w:kern w:val="0"/>
          <w:szCs w:val="21"/>
        </w:rPr>
        <w:t>，</w:t>
      </w:r>
      <w:r>
        <w:rPr>
          <w:rFonts w:ascii="宋体" w:hAnsi="宋体" w:cs="Arial"/>
          <w:kern w:val="0"/>
          <w:szCs w:val="21"/>
        </w:rPr>
        <w:t>本公司将增加</w:t>
      </w:r>
      <w:r>
        <w:rPr>
          <w:rFonts w:ascii="宋体" w:hAnsi="宋体" w:cs="Arial" w:hint="eastAsia"/>
          <w:kern w:val="0"/>
          <w:szCs w:val="21"/>
        </w:rPr>
        <w:t>贵州银行</w:t>
      </w:r>
      <w:r>
        <w:rPr>
          <w:rFonts w:ascii="宋体" w:hAnsi="宋体" w:cs="Arial"/>
          <w:kern w:val="0"/>
          <w:szCs w:val="21"/>
        </w:rPr>
        <w:t>代理</w:t>
      </w:r>
      <w:r>
        <w:rPr>
          <w:rFonts w:ascii="Arial" w:hAnsi="宋体" w:cs="Arial"/>
          <w:kern w:val="0"/>
          <w:szCs w:val="21"/>
        </w:rPr>
        <w:t>下列基金的申购</w:t>
      </w:r>
      <w:r>
        <w:rPr>
          <w:rFonts w:ascii="Arial" w:hAnsi="宋体" w:cs="Arial" w:hint="eastAsia"/>
          <w:kern w:val="0"/>
          <w:szCs w:val="21"/>
        </w:rPr>
        <w:t>、</w:t>
      </w:r>
      <w:r>
        <w:rPr>
          <w:rFonts w:ascii="Arial" w:hAnsi="宋体" w:cs="Arial"/>
          <w:kern w:val="0"/>
          <w:szCs w:val="21"/>
        </w:rPr>
        <w:t>赎回</w:t>
      </w:r>
      <w:r>
        <w:rPr>
          <w:rFonts w:ascii="Arial" w:hAnsi="宋体" w:cs="Arial" w:hint="eastAsia"/>
          <w:kern w:val="0"/>
          <w:szCs w:val="21"/>
        </w:rPr>
        <w:t>、定投及转换等业务，并参加其费率优惠活动。</w:t>
      </w:r>
    </w:p>
    <w:p w:rsidR="005D29D1" w:rsidRDefault="001F5CF4">
      <w:pPr>
        <w:adjustRightInd w:val="0"/>
        <w:snapToGrid w:val="0"/>
        <w:spacing w:line="360" w:lineRule="auto"/>
        <w:ind w:firstLineChars="200" w:firstLine="420"/>
        <w:rPr>
          <w:rFonts w:ascii="Arial" w:hAnsi="宋体" w:cs="Arial"/>
          <w:kern w:val="0"/>
          <w:szCs w:val="21"/>
        </w:rPr>
      </w:pPr>
      <w:r>
        <w:rPr>
          <w:rFonts w:ascii="Arial" w:hAnsi="宋体" w:cs="Arial" w:hint="eastAsia"/>
          <w:kern w:val="0"/>
          <w:szCs w:val="21"/>
        </w:rPr>
        <w:t>一、</w:t>
      </w:r>
      <w:r>
        <w:rPr>
          <w:rFonts w:ascii="Arial" w:hAnsi="宋体" w:cs="Arial" w:hint="eastAsia"/>
          <w:kern w:val="0"/>
          <w:szCs w:val="21"/>
        </w:rPr>
        <w:t>本次</w:t>
      </w:r>
      <w:r>
        <w:rPr>
          <w:rFonts w:ascii="宋体" w:hAnsi="宋体" w:cs="Arial" w:hint="eastAsia"/>
          <w:kern w:val="0"/>
          <w:szCs w:val="21"/>
        </w:rPr>
        <w:t>贵州银行</w:t>
      </w:r>
      <w:r>
        <w:rPr>
          <w:rFonts w:ascii="Arial" w:hAnsi="宋体" w:cs="Arial" w:hint="eastAsia"/>
          <w:kern w:val="0"/>
          <w:szCs w:val="21"/>
        </w:rPr>
        <w:t>开通申购、赎回、定投及转换业务的基金</w:t>
      </w:r>
    </w:p>
    <w:tbl>
      <w:tblPr>
        <w:tblW w:w="8177" w:type="dxa"/>
        <w:tblLayout w:type="fixed"/>
        <w:tblCellMar>
          <w:left w:w="0" w:type="dxa"/>
          <w:right w:w="0" w:type="dxa"/>
        </w:tblCellMar>
        <w:tblLook w:val="04A0"/>
      </w:tblPr>
      <w:tblGrid>
        <w:gridCol w:w="514"/>
        <w:gridCol w:w="2617"/>
        <w:gridCol w:w="1114"/>
        <w:gridCol w:w="1360"/>
        <w:gridCol w:w="1301"/>
        <w:gridCol w:w="1271"/>
      </w:tblGrid>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序号</w:t>
            </w: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基金名称</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基金代码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b/>
                <w:color w:val="000000"/>
                <w:kern w:val="0"/>
                <w:szCs w:val="21"/>
                <w:lang/>
              </w:rPr>
            </w:pPr>
            <w:r>
              <w:rPr>
                <w:rFonts w:ascii="宋体" w:hAnsi="宋体" w:cs="宋体" w:hint="eastAsia"/>
                <w:b/>
                <w:color w:val="000000"/>
                <w:kern w:val="0"/>
                <w:szCs w:val="21"/>
                <w:lang/>
              </w:rPr>
              <w:t>是否开通</w:t>
            </w:r>
          </w:p>
          <w:p w:rsidR="005D29D1" w:rsidRDefault="001F5CF4">
            <w:pPr>
              <w:widowControl/>
              <w:jc w:val="center"/>
              <w:textAlignment w:val="center"/>
              <w:rPr>
                <w:rFonts w:ascii="宋体" w:hAnsi="宋体" w:cs="宋体"/>
                <w:b/>
                <w:color w:val="000000"/>
                <w:szCs w:val="21"/>
              </w:rPr>
            </w:pPr>
            <w:r>
              <w:rPr>
                <w:rFonts w:ascii="宋体" w:hAnsi="宋体" w:cs="宋体" w:hint="eastAsia"/>
                <w:b/>
                <w:color w:val="000000"/>
                <w:kern w:val="0"/>
                <w:szCs w:val="21"/>
                <w:lang/>
              </w:rPr>
              <w:t>申购、赎回</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b/>
                <w:color w:val="000000"/>
                <w:kern w:val="0"/>
                <w:szCs w:val="21"/>
                <w:lang/>
              </w:rPr>
            </w:pPr>
            <w:r>
              <w:rPr>
                <w:rFonts w:ascii="宋体" w:hAnsi="宋体" w:cs="宋体" w:hint="eastAsia"/>
                <w:b/>
                <w:color w:val="000000"/>
                <w:kern w:val="0"/>
                <w:szCs w:val="21"/>
                <w:lang/>
              </w:rPr>
              <w:t>是否开通</w:t>
            </w:r>
          </w:p>
          <w:p w:rsidR="005D29D1" w:rsidRDefault="001F5CF4">
            <w:pPr>
              <w:widowControl/>
              <w:jc w:val="center"/>
              <w:textAlignment w:val="center"/>
              <w:rPr>
                <w:rFonts w:ascii="宋体" w:hAnsi="宋体" w:cs="宋体"/>
                <w:b/>
                <w:color w:val="000000"/>
                <w:szCs w:val="21"/>
              </w:rPr>
            </w:pPr>
            <w:bookmarkStart w:id="0" w:name="_GoBack"/>
            <w:bookmarkEnd w:id="0"/>
            <w:r>
              <w:rPr>
                <w:rFonts w:ascii="宋体" w:hAnsi="宋体" w:cs="宋体" w:hint="eastAsia"/>
                <w:b/>
                <w:color w:val="000000"/>
                <w:kern w:val="0"/>
                <w:szCs w:val="21"/>
                <w:lang/>
              </w:rPr>
              <w:t>定投</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b/>
                <w:color w:val="000000"/>
                <w:kern w:val="0"/>
                <w:szCs w:val="21"/>
                <w:lang/>
              </w:rPr>
            </w:pPr>
            <w:r>
              <w:rPr>
                <w:rFonts w:ascii="宋体" w:hAnsi="宋体" w:cs="宋体" w:hint="eastAsia"/>
                <w:b/>
                <w:color w:val="000000"/>
                <w:kern w:val="0"/>
                <w:szCs w:val="21"/>
                <w:lang/>
              </w:rPr>
              <w:t>是否开通</w:t>
            </w:r>
          </w:p>
          <w:p w:rsidR="005D29D1" w:rsidRDefault="001F5CF4">
            <w:pPr>
              <w:widowControl/>
              <w:jc w:val="center"/>
              <w:textAlignment w:val="center"/>
              <w:rPr>
                <w:rFonts w:ascii="宋体" w:hAnsi="宋体" w:cs="宋体"/>
                <w:b/>
                <w:color w:val="000000"/>
                <w:szCs w:val="21"/>
              </w:rPr>
            </w:pPr>
            <w:r>
              <w:rPr>
                <w:rFonts w:ascii="宋体" w:hAnsi="宋体" w:cs="宋体" w:hint="eastAsia"/>
                <w:b/>
                <w:color w:val="000000"/>
                <w:kern w:val="0"/>
                <w:szCs w:val="21"/>
                <w:lang/>
              </w:rPr>
              <w:t>转换</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博时科技创新混合型证券投资基金</w:t>
            </w:r>
            <w:r>
              <w:rPr>
                <w:rFonts w:ascii="宋体" w:hAnsi="宋体" w:cs="宋体" w:hint="eastAsia"/>
                <w:color w:val="000000"/>
                <w:kern w:val="0"/>
                <w:sz w:val="22"/>
                <w:szCs w:val="22"/>
                <w:lang/>
              </w:rPr>
              <w:t>A</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009057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912"/>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博时创业板交易型开放式指数证券投资基金联接基金</w:t>
            </w:r>
            <w:r>
              <w:rPr>
                <w:rFonts w:ascii="宋体" w:hAnsi="宋体" w:cs="宋体" w:hint="eastAsia"/>
                <w:color w:val="000000"/>
                <w:kern w:val="0"/>
                <w:sz w:val="22"/>
                <w:szCs w:val="22"/>
                <w:lang/>
              </w:rPr>
              <w:t>A</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050021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博时裕益灵活配置混合型证券投资基金</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000219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博时新兴成长混合型证券投资基金</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050009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5</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博时稳定价值债券投资基金</w:t>
            </w:r>
            <w:r>
              <w:rPr>
                <w:rFonts w:ascii="宋体" w:hAnsi="宋体" w:cs="宋体" w:hint="eastAsia"/>
                <w:color w:val="000000"/>
                <w:kern w:val="0"/>
                <w:sz w:val="22"/>
                <w:szCs w:val="22"/>
                <w:lang/>
              </w:rPr>
              <w:t>A</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050106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320"/>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6</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博时信用债券投资基金</w:t>
            </w:r>
            <w:r>
              <w:rPr>
                <w:rFonts w:ascii="宋体" w:hAnsi="宋体" w:cs="宋体" w:hint="eastAsia"/>
                <w:color w:val="000000"/>
                <w:kern w:val="0"/>
                <w:sz w:val="22"/>
                <w:szCs w:val="22"/>
                <w:lang/>
              </w:rPr>
              <w:t>C</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050111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7</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博时宏观回报债券型证券投资基金</w:t>
            </w:r>
            <w:r>
              <w:rPr>
                <w:rFonts w:ascii="宋体" w:hAnsi="宋体" w:cs="宋体" w:hint="eastAsia"/>
                <w:color w:val="000000"/>
                <w:kern w:val="0"/>
                <w:sz w:val="22"/>
                <w:szCs w:val="22"/>
                <w:lang/>
              </w:rPr>
              <w:t>C</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050116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8</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博时转债增强债券型证券投资基金</w:t>
            </w:r>
            <w:r>
              <w:rPr>
                <w:rFonts w:ascii="宋体" w:hAnsi="宋体" w:cs="宋体" w:hint="eastAsia"/>
                <w:color w:val="000000"/>
                <w:kern w:val="0"/>
                <w:sz w:val="22"/>
                <w:szCs w:val="22"/>
                <w:lang/>
              </w:rPr>
              <w:t>C</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050119</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9</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博时内需增长灵活配置混合型证券投资基金</w:t>
            </w:r>
            <w:r>
              <w:rPr>
                <w:rFonts w:ascii="宋体" w:hAnsi="宋体" w:cs="宋体" w:hint="eastAsia"/>
                <w:color w:val="000000"/>
                <w:kern w:val="0"/>
                <w:sz w:val="22"/>
                <w:szCs w:val="22"/>
                <w:lang/>
              </w:rPr>
              <w:t>A</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000264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r>
              <w:rPr>
                <w:rFonts w:ascii="宋体" w:hAnsi="宋体" w:cs="宋体" w:hint="eastAsia"/>
                <w:color w:val="000000"/>
                <w:kern w:val="0"/>
                <w:szCs w:val="21"/>
                <w:lang/>
              </w:rPr>
              <w:t>0</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博时沪港深优质企业灵活配置混合型证券投资基金</w:t>
            </w:r>
            <w:r>
              <w:rPr>
                <w:rFonts w:ascii="宋体" w:hAnsi="宋体" w:cs="宋体" w:hint="eastAsia"/>
                <w:color w:val="000000"/>
                <w:kern w:val="0"/>
                <w:sz w:val="22"/>
                <w:szCs w:val="22"/>
                <w:lang/>
              </w:rPr>
              <w:t>A</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001215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r>
              <w:rPr>
                <w:rFonts w:ascii="宋体" w:hAnsi="宋体" w:cs="宋体" w:hint="eastAsia"/>
                <w:color w:val="000000"/>
                <w:kern w:val="0"/>
                <w:szCs w:val="21"/>
                <w:lang/>
              </w:rPr>
              <w:t>1</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博时黄金交易型开放式证券投资基金联接基金</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002611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616"/>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r>
              <w:rPr>
                <w:rFonts w:ascii="宋体" w:hAnsi="宋体" w:cs="宋体" w:hint="eastAsia"/>
                <w:color w:val="000000"/>
                <w:kern w:val="0"/>
                <w:szCs w:val="21"/>
                <w:lang/>
              </w:rPr>
              <w:t>2</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博时裕富沪深</w:t>
            </w:r>
            <w:r>
              <w:rPr>
                <w:rFonts w:ascii="宋体" w:hAnsi="宋体" w:cs="宋体" w:hint="eastAsia"/>
                <w:color w:val="000000"/>
                <w:kern w:val="0"/>
                <w:sz w:val="22"/>
                <w:szCs w:val="22"/>
                <w:lang/>
              </w:rPr>
              <w:t>300</w:t>
            </w:r>
            <w:r>
              <w:rPr>
                <w:rFonts w:ascii="宋体" w:hAnsi="宋体" w:cs="宋体" w:hint="eastAsia"/>
                <w:color w:val="000000"/>
                <w:kern w:val="0"/>
                <w:sz w:val="22"/>
                <w:szCs w:val="22"/>
                <w:lang/>
              </w:rPr>
              <w:t>指数证券投资基金</w:t>
            </w:r>
            <w:r>
              <w:rPr>
                <w:rFonts w:ascii="宋体" w:hAnsi="宋体" w:cs="宋体" w:hint="eastAsia"/>
                <w:color w:val="000000"/>
                <w:kern w:val="0"/>
                <w:sz w:val="22"/>
                <w:szCs w:val="22"/>
                <w:lang/>
              </w:rPr>
              <w:t>C</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002385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r w:rsidR="005D29D1">
        <w:trPr>
          <w:trHeight w:val="921"/>
        </w:trPr>
        <w:tc>
          <w:tcPr>
            <w:tcW w:w="5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1</w:t>
            </w:r>
            <w:r>
              <w:rPr>
                <w:rFonts w:ascii="宋体" w:hAnsi="宋体" w:cs="宋体" w:hint="eastAsia"/>
                <w:color w:val="000000"/>
                <w:kern w:val="0"/>
                <w:szCs w:val="21"/>
                <w:lang/>
              </w:rPr>
              <w:t>3</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博时上证自然资源交易型开放式指数证券投资基金联接基金</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29D1" w:rsidRDefault="001F5CF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050024</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29D1" w:rsidRDefault="001F5CF4">
            <w:pPr>
              <w:widowControl/>
              <w:jc w:val="center"/>
              <w:textAlignment w:val="center"/>
              <w:rPr>
                <w:rFonts w:ascii="宋体" w:hAnsi="宋体" w:cs="宋体"/>
                <w:color w:val="000000"/>
                <w:szCs w:val="21"/>
              </w:rPr>
            </w:pPr>
            <w:r>
              <w:rPr>
                <w:rFonts w:ascii="宋体" w:hAnsi="宋体" w:cs="宋体" w:hint="eastAsia"/>
                <w:color w:val="000000"/>
                <w:kern w:val="0"/>
                <w:szCs w:val="21"/>
                <w:lang/>
              </w:rPr>
              <w:t>是</w:t>
            </w:r>
          </w:p>
        </w:tc>
      </w:tr>
    </w:tbl>
    <w:p w:rsidR="005D29D1" w:rsidRDefault="005D29D1">
      <w:pPr>
        <w:adjustRightInd w:val="0"/>
        <w:snapToGrid w:val="0"/>
        <w:spacing w:line="360" w:lineRule="auto"/>
        <w:ind w:firstLineChars="200" w:firstLine="420"/>
        <w:rPr>
          <w:rFonts w:ascii="宋体" w:hAnsi="宋体" w:cs="Arial"/>
          <w:kern w:val="0"/>
          <w:szCs w:val="21"/>
        </w:rPr>
      </w:pPr>
    </w:p>
    <w:p w:rsidR="005D29D1" w:rsidRDefault="001F5CF4">
      <w:pPr>
        <w:numPr>
          <w:ilvl w:val="0"/>
          <w:numId w:val="1"/>
        </w:numPr>
        <w:adjustRightInd w:val="0"/>
        <w:snapToGrid w:val="0"/>
        <w:spacing w:line="360" w:lineRule="auto"/>
        <w:rPr>
          <w:szCs w:val="21"/>
        </w:rPr>
      </w:pPr>
      <w:r>
        <w:rPr>
          <w:rFonts w:ascii="Arial" w:hAnsi="宋体" w:cs="Arial" w:hint="eastAsia"/>
          <w:kern w:val="0"/>
          <w:szCs w:val="21"/>
        </w:rPr>
        <w:t>费率优惠</w:t>
      </w:r>
      <w:r>
        <w:rPr>
          <w:rFonts w:hint="eastAsia"/>
          <w:szCs w:val="21"/>
        </w:rPr>
        <w:t>内容</w:t>
      </w:r>
    </w:p>
    <w:p w:rsidR="005D29D1" w:rsidRDefault="001F5CF4">
      <w:pPr>
        <w:spacing w:line="360" w:lineRule="auto"/>
        <w:ind w:firstLineChars="200" w:firstLine="420"/>
        <w:jc w:val="left"/>
        <w:rPr>
          <w:rFonts w:ascii="宋体" w:hAnsi="宋体"/>
          <w:szCs w:val="21"/>
        </w:rPr>
      </w:pPr>
      <w:r>
        <w:rPr>
          <w:rFonts w:ascii="宋体" w:hAnsi="宋体" w:hint="eastAsia"/>
          <w:szCs w:val="21"/>
        </w:rPr>
        <w:t>自</w:t>
      </w:r>
      <w:r>
        <w:rPr>
          <w:rFonts w:ascii="宋体" w:hAnsi="宋体" w:hint="eastAsia"/>
          <w:szCs w:val="21"/>
        </w:rPr>
        <w:t>202</w:t>
      </w:r>
      <w:r>
        <w:rPr>
          <w:rFonts w:ascii="宋体" w:hAnsi="宋体" w:hint="eastAsia"/>
          <w:szCs w:val="21"/>
        </w:rPr>
        <w:t>2</w:t>
      </w:r>
      <w:r>
        <w:rPr>
          <w:rFonts w:ascii="宋体" w:hAnsi="宋体" w:hint="eastAsia"/>
          <w:szCs w:val="21"/>
        </w:rPr>
        <w:t>年</w:t>
      </w:r>
      <w:r>
        <w:rPr>
          <w:rFonts w:ascii="宋体" w:hAnsi="宋体" w:hint="eastAsia"/>
          <w:szCs w:val="21"/>
        </w:rPr>
        <w:t>7</w:t>
      </w:r>
      <w:r>
        <w:rPr>
          <w:rFonts w:ascii="宋体" w:hAnsi="宋体" w:hint="eastAsia"/>
          <w:szCs w:val="21"/>
        </w:rPr>
        <w:t>月</w:t>
      </w:r>
      <w:r>
        <w:rPr>
          <w:rFonts w:ascii="宋体" w:hAnsi="宋体" w:hint="eastAsia"/>
          <w:szCs w:val="21"/>
        </w:rPr>
        <w:t>21</w:t>
      </w:r>
      <w:r>
        <w:rPr>
          <w:rFonts w:ascii="宋体" w:hAnsi="宋体" w:hint="eastAsia"/>
          <w:szCs w:val="21"/>
        </w:rPr>
        <w:t>日</w:t>
      </w:r>
      <w:r>
        <w:rPr>
          <w:rFonts w:ascii="宋体" w:hAnsi="宋体" w:hint="eastAsia"/>
          <w:szCs w:val="21"/>
        </w:rPr>
        <w:t>起，投资者通过贵州银行办理上述</w:t>
      </w:r>
      <w:r>
        <w:rPr>
          <w:rFonts w:ascii="宋体" w:hAnsi="宋体" w:hint="eastAsia"/>
          <w:szCs w:val="21"/>
        </w:rPr>
        <w:t>13</w:t>
      </w:r>
      <w:r>
        <w:rPr>
          <w:rFonts w:ascii="宋体" w:hAnsi="宋体" w:hint="eastAsia"/>
          <w:szCs w:val="21"/>
        </w:rPr>
        <w:t>只基金及</w:t>
      </w:r>
      <w:r>
        <w:rPr>
          <w:rFonts w:ascii="宋体" w:hAnsi="宋体" w:hint="eastAsia"/>
          <w:szCs w:val="21"/>
        </w:rPr>
        <w:t>在贵州银行代销的</w:t>
      </w:r>
      <w:r>
        <w:rPr>
          <w:rFonts w:ascii="宋体" w:hAnsi="宋体" w:hint="eastAsia"/>
          <w:szCs w:val="21"/>
        </w:rPr>
        <w:lastRenderedPageBreak/>
        <w:t>其他基金产品</w:t>
      </w:r>
      <w:r>
        <w:rPr>
          <w:rFonts w:ascii="宋体" w:hAnsi="宋体" w:hint="eastAsia"/>
          <w:szCs w:val="21"/>
        </w:rPr>
        <w:t>的销售业务，参加贵州银行申购及定期定额申购业务费率优惠活动，享有申购费率</w:t>
      </w:r>
      <w:r>
        <w:rPr>
          <w:rFonts w:ascii="宋体" w:hAnsi="宋体" w:hint="eastAsia"/>
          <w:szCs w:val="21"/>
        </w:rPr>
        <w:t>7</w:t>
      </w:r>
      <w:r>
        <w:rPr>
          <w:rFonts w:ascii="宋体" w:hAnsi="宋体" w:hint="eastAsia"/>
          <w:szCs w:val="21"/>
        </w:rPr>
        <w:t>折优惠。</w:t>
      </w:r>
      <w:r>
        <w:rPr>
          <w:szCs w:val="21"/>
        </w:rPr>
        <w:t>基金</w:t>
      </w:r>
      <w:r>
        <w:rPr>
          <w:rFonts w:hint="eastAsia"/>
          <w:szCs w:val="21"/>
        </w:rPr>
        <w:t>原</w:t>
      </w:r>
      <w:r>
        <w:rPr>
          <w:szCs w:val="21"/>
        </w:rPr>
        <w:t>费率请详见基金合同、</w:t>
      </w:r>
      <w:r>
        <w:rPr>
          <w:rFonts w:hint="eastAsia"/>
          <w:szCs w:val="21"/>
        </w:rPr>
        <w:t>基金招募说明书、</w:t>
      </w:r>
      <w:r>
        <w:rPr>
          <w:szCs w:val="21"/>
        </w:rPr>
        <w:t>招募说明书</w:t>
      </w:r>
      <w:r>
        <w:rPr>
          <w:rFonts w:hint="eastAsia"/>
          <w:szCs w:val="21"/>
        </w:rPr>
        <w:t>（</w:t>
      </w:r>
      <w:r>
        <w:rPr>
          <w:szCs w:val="21"/>
        </w:rPr>
        <w:t>更新</w:t>
      </w:r>
      <w:r>
        <w:rPr>
          <w:rFonts w:hint="eastAsia"/>
          <w:szCs w:val="21"/>
        </w:rPr>
        <w:t>）</w:t>
      </w:r>
      <w:r>
        <w:rPr>
          <w:szCs w:val="21"/>
        </w:rPr>
        <w:t>等法律文件，以及本公司发布的最新业务公告。</w:t>
      </w:r>
    </w:p>
    <w:p w:rsidR="005D29D1" w:rsidRDefault="001F5CF4">
      <w:pPr>
        <w:spacing w:line="360" w:lineRule="auto"/>
        <w:ind w:firstLineChars="200" w:firstLine="420"/>
        <w:rPr>
          <w:szCs w:val="21"/>
        </w:rPr>
      </w:pPr>
      <w:r>
        <w:rPr>
          <w:rFonts w:hint="eastAsia"/>
          <w:szCs w:val="21"/>
        </w:rPr>
        <w:t>费率优惠期限内，如本公司新增通过贵州银行代销的基金产品，则自该基金产品开放销售业务当日起，将同时开通该基金上述优惠活动。</w:t>
      </w:r>
    </w:p>
    <w:p w:rsidR="005D29D1" w:rsidRDefault="005D29D1">
      <w:pPr>
        <w:adjustRightInd w:val="0"/>
        <w:snapToGrid w:val="0"/>
        <w:spacing w:line="360" w:lineRule="auto"/>
        <w:ind w:firstLine="420"/>
        <w:rPr>
          <w:rFonts w:ascii="宋体" w:hAnsi="宋体" w:cs="Arial"/>
          <w:kern w:val="0"/>
          <w:szCs w:val="21"/>
        </w:rPr>
      </w:pPr>
    </w:p>
    <w:p w:rsidR="005D29D1" w:rsidRDefault="001F5CF4">
      <w:pPr>
        <w:numPr>
          <w:ilvl w:val="0"/>
          <w:numId w:val="1"/>
        </w:numPr>
        <w:adjustRightInd w:val="0"/>
        <w:snapToGrid w:val="0"/>
        <w:spacing w:line="360" w:lineRule="auto"/>
        <w:rPr>
          <w:rFonts w:ascii="宋体" w:hAnsi="宋体" w:cs="Arial"/>
          <w:kern w:val="0"/>
          <w:szCs w:val="21"/>
        </w:rPr>
      </w:pPr>
      <w:r>
        <w:rPr>
          <w:rFonts w:ascii="宋体" w:hAnsi="宋体" w:cs="Arial"/>
          <w:kern w:val="0"/>
          <w:szCs w:val="21"/>
        </w:rPr>
        <w:t>投资者可通过以下途径咨询有关详情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11"/>
        <w:gridCol w:w="2460"/>
      </w:tblGrid>
      <w:tr w:rsidR="005D29D1">
        <w:trPr>
          <w:trHeight w:val="270"/>
          <w:jc w:val="center"/>
        </w:trPr>
        <w:tc>
          <w:tcPr>
            <w:tcW w:w="1951" w:type="dxa"/>
            <w:noWrap/>
            <w:vAlign w:val="center"/>
          </w:tcPr>
          <w:p w:rsidR="005D29D1" w:rsidRDefault="001F5CF4">
            <w:pPr>
              <w:widowControl/>
              <w:jc w:val="center"/>
              <w:rPr>
                <w:rFonts w:ascii="宋体" w:hAnsi="宋体" w:cs="Arial"/>
                <w:kern w:val="0"/>
                <w:szCs w:val="21"/>
              </w:rPr>
            </w:pPr>
            <w:r>
              <w:rPr>
                <w:rFonts w:ascii="宋体" w:hAnsi="宋体" w:cs="Arial" w:hint="eastAsia"/>
                <w:kern w:val="0"/>
                <w:szCs w:val="21"/>
              </w:rPr>
              <w:t>机构名称</w:t>
            </w:r>
          </w:p>
        </w:tc>
        <w:tc>
          <w:tcPr>
            <w:tcW w:w="4111" w:type="dxa"/>
            <w:noWrap/>
            <w:vAlign w:val="center"/>
          </w:tcPr>
          <w:p w:rsidR="005D29D1" w:rsidRDefault="001F5CF4">
            <w:pPr>
              <w:spacing w:line="360" w:lineRule="auto"/>
              <w:ind w:leftChars="-30" w:left="-63" w:rightChars="150" w:right="315" w:firstLineChars="172" w:firstLine="361"/>
              <w:jc w:val="center"/>
              <w:rPr>
                <w:rFonts w:ascii="宋体" w:hAnsi="宋体" w:cs="Arial"/>
                <w:kern w:val="0"/>
                <w:szCs w:val="21"/>
              </w:rPr>
            </w:pPr>
            <w:r>
              <w:rPr>
                <w:rFonts w:ascii="宋体" w:hAnsi="宋体" w:cs="Arial" w:hint="eastAsia"/>
                <w:kern w:val="0"/>
                <w:szCs w:val="21"/>
              </w:rPr>
              <w:t>客服电话</w:t>
            </w:r>
          </w:p>
        </w:tc>
        <w:tc>
          <w:tcPr>
            <w:tcW w:w="2460" w:type="dxa"/>
            <w:noWrap/>
            <w:vAlign w:val="center"/>
          </w:tcPr>
          <w:p w:rsidR="005D29D1" w:rsidRDefault="001F5CF4">
            <w:pPr>
              <w:spacing w:line="360" w:lineRule="auto"/>
              <w:jc w:val="center"/>
              <w:rPr>
                <w:rFonts w:ascii="宋体" w:hAnsi="宋体" w:cs="Arial"/>
                <w:kern w:val="0"/>
                <w:szCs w:val="21"/>
              </w:rPr>
            </w:pPr>
            <w:r>
              <w:rPr>
                <w:rFonts w:ascii="宋体" w:hAnsi="宋体" w:cs="Arial" w:hint="eastAsia"/>
                <w:kern w:val="0"/>
                <w:szCs w:val="21"/>
              </w:rPr>
              <w:t>网址</w:t>
            </w:r>
          </w:p>
        </w:tc>
      </w:tr>
      <w:tr w:rsidR="005D29D1">
        <w:trPr>
          <w:trHeight w:val="517"/>
          <w:jc w:val="center"/>
        </w:trPr>
        <w:tc>
          <w:tcPr>
            <w:tcW w:w="1951" w:type="dxa"/>
            <w:noWrap/>
            <w:vAlign w:val="center"/>
          </w:tcPr>
          <w:p w:rsidR="005D29D1" w:rsidRDefault="001F5CF4">
            <w:pPr>
              <w:widowControl/>
              <w:spacing w:line="360" w:lineRule="auto"/>
              <w:jc w:val="center"/>
              <w:rPr>
                <w:rFonts w:ascii="宋体" w:hAnsi="宋体" w:cs="Arial"/>
                <w:kern w:val="0"/>
                <w:szCs w:val="21"/>
              </w:rPr>
            </w:pPr>
            <w:r>
              <w:rPr>
                <w:rFonts w:ascii="宋体" w:hAnsi="宋体" w:cs="Arial" w:hint="eastAsia"/>
                <w:kern w:val="0"/>
                <w:szCs w:val="21"/>
              </w:rPr>
              <w:t>贵州银行</w:t>
            </w:r>
          </w:p>
        </w:tc>
        <w:tc>
          <w:tcPr>
            <w:tcW w:w="4111" w:type="dxa"/>
            <w:noWrap/>
            <w:vAlign w:val="center"/>
          </w:tcPr>
          <w:p w:rsidR="005D29D1" w:rsidRDefault="001F5CF4">
            <w:pPr>
              <w:spacing w:line="360" w:lineRule="auto"/>
              <w:ind w:leftChars="-30" w:left="-63" w:rightChars="150" w:right="315" w:firstLineChars="172" w:firstLine="361"/>
              <w:jc w:val="center"/>
              <w:rPr>
                <w:rFonts w:ascii="宋体" w:hAnsi="宋体" w:cs="Arial"/>
                <w:kern w:val="0"/>
                <w:szCs w:val="21"/>
              </w:rPr>
            </w:pPr>
            <w:r>
              <w:rPr>
                <w:rFonts w:ascii="宋体" w:hAnsi="宋体" w:cs="Arial" w:hint="eastAsia"/>
                <w:kern w:val="0"/>
                <w:szCs w:val="21"/>
              </w:rPr>
              <w:t>96655(</w:t>
            </w:r>
            <w:r>
              <w:rPr>
                <w:rFonts w:ascii="宋体" w:hAnsi="宋体" w:cs="Arial" w:hint="eastAsia"/>
                <w:kern w:val="0"/>
                <w:szCs w:val="21"/>
              </w:rPr>
              <w:t>贵州省</w:t>
            </w:r>
            <w:r>
              <w:rPr>
                <w:rFonts w:ascii="宋体" w:hAnsi="宋体" w:cs="Arial" w:hint="eastAsia"/>
                <w:kern w:val="0"/>
                <w:szCs w:val="21"/>
              </w:rPr>
              <w:t>)/4000696655(</w:t>
            </w:r>
            <w:r>
              <w:rPr>
                <w:rFonts w:ascii="宋体" w:hAnsi="宋体" w:cs="Arial" w:hint="eastAsia"/>
                <w:kern w:val="0"/>
                <w:szCs w:val="21"/>
              </w:rPr>
              <w:t>全国</w:t>
            </w:r>
            <w:r>
              <w:rPr>
                <w:rFonts w:ascii="宋体" w:hAnsi="宋体" w:cs="Arial" w:hint="eastAsia"/>
                <w:kern w:val="0"/>
                <w:szCs w:val="21"/>
              </w:rPr>
              <w:t>)</w:t>
            </w:r>
          </w:p>
        </w:tc>
        <w:tc>
          <w:tcPr>
            <w:tcW w:w="2460" w:type="dxa"/>
            <w:noWrap/>
            <w:vAlign w:val="center"/>
          </w:tcPr>
          <w:p w:rsidR="005D29D1" w:rsidRDefault="001F5CF4">
            <w:pPr>
              <w:spacing w:line="360" w:lineRule="auto"/>
              <w:jc w:val="center"/>
              <w:rPr>
                <w:rFonts w:ascii="宋体" w:hAnsi="宋体" w:cs="Arial"/>
                <w:szCs w:val="21"/>
              </w:rPr>
            </w:pPr>
            <w:r>
              <w:rPr>
                <w:rFonts w:ascii="宋体" w:hAnsi="宋体" w:cs="Arial"/>
                <w:szCs w:val="21"/>
              </w:rPr>
              <w:t>www.bgzchina.com</w:t>
            </w:r>
          </w:p>
        </w:tc>
      </w:tr>
      <w:tr w:rsidR="005D29D1">
        <w:trPr>
          <w:trHeight w:val="517"/>
          <w:jc w:val="center"/>
        </w:trPr>
        <w:tc>
          <w:tcPr>
            <w:tcW w:w="1951" w:type="dxa"/>
            <w:noWrap/>
            <w:vAlign w:val="center"/>
          </w:tcPr>
          <w:p w:rsidR="005D29D1" w:rsidRDefault="001F5CF4">
            <w:pPr>
              <w:widowControl/>
              <w:spacing w:line="360" w:lineRule="auto"/>
              <w:jc w:val="center"/>
              <w:rPr>
                <w:rFonts w:ascii="宋体" w:hAnsi="宋体" w:cs="Arial"/>
                <w:kern w:val="0"/>
                <w:szCs w:val="21"/>
              </w:rPr>
            </w:pPr>
            <w:r>
              <w:rPr>
                <w:rFonts w:ascii="宋体" w:hAnsi="宋体" w:cs="Arial" w:hint="eastAsia"/>
                <w:kern w:val="0"/>
                <w:szCs w:val="21"/>
              </w:rPr>
              <w:t>博时基金</w:t>
            </w:r>
          </w:p>
        </w:tc>
        <w:tc>
          <w:tcPr>
            <w:tcW w:w="4111" w:type="dxa"/>
            <w:noWrap/>
            <w:vAlign w:val="center"/>
          </w:tcPr>
          <w:p w:rsidR="005D29D1" w:rsidRDefault="001F5CF4">
            <w:pPr>
              <w:spacing w:line="360" w:lineRule="auto"/>
              <w:ind w:leftChars="-30" w:left="-63" w:rightChars="150" w:right="315" w:firstLineChars="172" w:firstLine="361"/>
              <w:jc w:val="center"/>
              <w:rPr>
                <w:rFonts w:ascii="宋体" w:hAnsi="宋体" w:cs="Arial"/>
                <w:kern w:val="0"/>
                <w:szCs w:val="21"/>
              </w:rPr>
            </w:pPr>
            <w:r>
              <w:rPr>
                <w:rFonts w:ascii="宋体" w:hAnsi="宋体" w:cs="Arial" w:hint="eastAsia"/>
                <w:kern w:val="0"/>
                <w:szCs w:val="21"/>
              </w:rPr>
              <w:t>95105568(</w:t>
            </w:r>
            <w:r>
              <w:rPr>
                <w:rFonts w:ascii="宋体" w:hAnsi="宋体" w:cs="Arial" w:hint="eastAsia"/>
                <w:kern w:val="0"/>
                <w:szCs w:val="21"/>
              </w:rPr>
              <w:t>免长途话费</w:t>
            </w:r>
            <w:r>
              <w:rPr>
                <w:rFonts w:ascii="宋体" w:hAnsi="宋体" w:cs="Arial" w:hint="eastAsia"/>
                <w:kern w:val="0"/>
                <w:szCs w:val="21"/>
              </w:rPr>
              <w:t>)</w:t>
            </w:r>
          </w:p>
        </w:tc>
        <w:tc>
          <w:tcPr>
            <w:tcW w:w="2460" w:type="dxa"/>
            <w:noWrap/>
            <w:vAlign w:val="center"/>
          </w:tcPr>
          <w:p w:rsidR="005D29D1" w:rsidRDefault="001F5CF4">
            <w:pPr>
              <w:spacing w:line="360" w:lineRule="auto"/>
              <w:jc w:val="center"/>
              <w:rPr>
                <w:rFonts w:ascii="宋体" w:hAnsi="宋体" w:cs="Arial"/>
                <w:kern w:val="0"/>
                <w:szCs w:val="21"/>
              </w:rPr>
            </w:pPr>
            <w:r>
              <w:rPr>
                <w:rFonts w:ascii="宋体" w:hAnsi="宋体" w:cs="Arial"/>
                <w:kern w:val="0"/>
                <w:szCs w:val="21"/>
              </w:rPr>
              <w:t>www.bosera.com</w:t>
            </w:r>
          </w:p>
        </w:tc>
      </w:tr>
    </w:tbl>
    <w:p w:rsidR="005D29D1" w:rsidRDefault="005D29D1">
      <w:pPr>
        <w:adjustRightInd w:val="0"/>
        <w:snapToGrid w:val="0"/>
        <w:spacing w:line="360" w:lineRule="auto"/>
        <w:ind w:left="420"/>
        <w:rPr>
          <w:rFonts w:ascii="宋体" w:hAnsi="宋体" w:cs="Arial"/>
          <w:kern w:val="0"/>
          <w:szCs w:val="21"/>
        </w:rPr>
      </w:pPr>
    </w:p>
    <w:p w:rsidR="005D29D1" w:rsidRDefault="001F5CF4">
      <w:pPr>
        <w:numPr>
          <w:ilvl w:val="0"/>
          <w:numId w:val="1"/>
        </w:numPr>
        <w:adjustRightInd w:val="0"/>
        <w:snapToGrid w:val="0"/>
        <w:spacing w:line="360" w:lineRule="auto"/>
        <w:rPr>
          <w:rFonts w:ascii="宋体" w:hAnsi="宋体" w:cs="Arial"/>
          <w:kern w:val="0"/>
          <w:szCs w:val="21"/>
        </w:rPr>
      </w:pPr>
      <w:r>
        <w:rPr>
          <w:rFonts w:ascii="宋体" w:hAnsi="宋体" w:cs="Arial" w:hint="eastAsia"/>
          <w:kern w:val="0"/>
          <w:szCs w:val="21"/>
        </w:rPr>
        <w:t>重要提示</w:t>
      </w:r>
    </w:p>
    <w:p w:rsidR="005D29D1" w:rsidRDefault="001F5CF4">
      <w:pPr>
        <w:adjustRightInd w:val="0"/>
        <w:snapToGrid w:val="0"/>
        <w:spacing w:line="360" w:lineRule="auto"/>
        <w:ind w:left="420"/>
        <w:rPr>
          <w:rFonts w:ascii="Arial" w:hAnsi="宋体" w:cs="Arial"/>
          <w:kern w:val="0"/>
          <w:szCs w:val="21"/>
        </w:rPr>
      </w:pPr>
      <w:r>
        <w:rPr>
          <w:rFonts w:ascii="Arial" w:hAnsi="宋体" w:cs="Arial" w:hint="eastAsia"/>
          <w:kern w:val="0"/>
          <w:szCs w:val="21"/>
        </w:rPr>
        <w:t>1</w:t>
      </w:r>
      <w:r>
        <w:rPr>
          <w:rFonts w:ascii="Arial" w:hAnsi="宋体" w:cs="Arial" w:hint="eastAsia"/>
          <w:kern w:val="0"/>
          <w:szCs w:val="21"/>
        </w:rPr>
        <w:t>、本优惠仅适用于处于</w:t>
      </w:r>
      <w:r>
        <w:rPr>
          <w:szCs w:val="21"/>
        </w:rPr>
        <w:t>正常申购期的基金产品</w:t>
      </w:r>
      <w:r>
        <w:rPr>
          <w:rFonts w:hint="eastAsia"/>
          <w:szCs w:val="21"/>
        </w:rPr>
        <w:t>手续费</w:t>
      </w:r>
      <w:r>
        <w:rPr>
          <w:rFonts w:ascii="Arial" w:hAnsi="宋体" w:cs="Arial" w:hint="eastAsia"/>
          <w:kern w:val="0"/>
          <w:szCs w:val="21"/>
        </w:rPr>
        <w:t>。</w:t>
      </w:r>
    </w:p>
    <w:p w:rsidR="005D29D1" w:rsidRDefault="001F5CF4">
      <w:pPr>
        <w:adjustRightInd w:val="0"/>
        <w:snapToGrid w:val="0"/>
        <w:spacing w:line="360" w:lineRule="auto"/>
        <w:ind w:left="420"/>
        <w:rPr>
          <w:rFonts w:ascii="Arial" w:hAnsi="宋体" w:cs="Arial"/>
          <w:kern w:val="0"/>
          <w:szCs w:val="21"/>
        </w:rPr>
      </w:pPr>
      <w:r>
        <w:rPr>
          <w:rFonts w:ascii="Arial" w:hAnsi="宋体" w:cs="Arial" w:hint="eastAsia"/>
          <w:kern w:val="0"/>
          <w:szCs w:val="21"/>
        </w:rPr>
        <w:t>2</w:t>
      </w:r>
      <w:r>
        <w:rPr>
          <w:rFonts w:ascii="Arial" w:hAnsi="宋体" w:cs="Arial"/>
          <w:kern w:val="0"/>
          <w:szCs w:val="21"/>
        </w:rPr>
        <w:t>、</w:t>
      </w:r>
      <w:r>
        <w:rPr>
          <w:rFonts w:ascii="Arial" w:hAnsi="宋体" w:cs="Arial" w:hint="eastAsia"/>
          <w:kern w:val="0"/>
          <w:szCs w:val="21"/>
        </w:rPr>
        <w:t>本次优惠活动期间，业务办理的具体时间、流程以贵州银行的安排和规定为准。</w:t>
      </w:r>
    </w:p>
    <w:p w:rsidR="005D29D1" w:rsidRDefault="001F5CF4">
      <w:pPr>
        <w:adjustRightInd w:val="0"/>
        <w:snapToGrid w:val="0"/>
        <w:spacing w:line="360" w:lineRule="auto"/>
        <w:ind w:left="420"/>
        <w:rPr>
          <w:rFonts w:ascii="Arial" w:hAnsi="宋体" w:cs="Arial"/>
          <w:kern w:val="0"/>
          <w:szCs w:val="21"/>
        </w:rPr>
      </w:pPr>
      <w:r>
        <w:rPr>
          <w:rFonts w:ascii="Arial" w:hAnsi="宋体" w:cs="Arial" w:hint="eastAsia"/>
          <w:kern w:val="0"/>
          <w:szCs w:val="21"/>
        </w:rPr>
        <w:t>3</w:t>
      </w:r>
      <w:r>
        <w:rPr>
          <w:rFonts w:ascii="Arial" w:hAnsi="宋体" w:cs="Arial" w:hint="eastAsia"/>
          <w:kern w:val="0"/>
          <w:szCs w:val="21"/>
        </w:rPr>
        <w:t>、本次优惠活动的解释权归</w:t>
      </w:r>
      <w:r>
        <w:rPr>
          <w:rFonts w:ascii="Arial" w:hAnsi="Arial" w:cs="Arial" w:hint="eastAsia"/>
          <w:szCs w:val="21"/>
        </w:rPr>
        <w:t>贵州银行</w:t>
      </w:r>
      <w:r>
        <w:rPr>
          <w:rFonts w:ascii="Arial" w:hAnsi="宋体" w:cs="Arial" w:hint="eastAsia"/>
          <w:kern w:val="0"/>
          <w:szCs w:val="21"/>
        </w:rPr>
        <w:t>所有。</w:t>
      </w:r>
    </w:p>
    <w:p w:rsidR="005D29D1" w:rsidRDefault="001F5CF4">
      <w:pPr>
        <w:adjustRightInd w:val="0"/>
        <w:snapToGrid w:val="0"/>
        <w:spacing w:line="360" w:lineRule="auto"/>
        <w:ind w:firstLineChars="200" w:firstLine="420"/>
        <w:rPr>
          <w:rFonts w:ascii="Arial" w:hAnsi="宋体" w:cs="Arial"/>
          <w:kern w:val="0"/>
          <w:szCs w:val="21"/>
        </w:rPr>
      </w:pPr>
      <w:r>
        <w:rPr>
          <w:rFonts w:ascii="Arial" w:hAnsi="宋体" w:cs="Arial" w:hint="eastAsia"/>
          <w:kern w:val="0"/>
          <w:szCs w:val="21"/>
        </w:rPr>
        <w:t>4</w:t>
      </w:r>
      <w:r>
        <w:rPr>
          <w:rFonts w:ascii="Arial" w:hAnsi="宋体" w:cs="Arial" w:hint="eastAsia"/>
          <w:kern w:val="0"/>
          <w:szCs w:val="21"/>
        </w:rPr>
        <w:t>、投资者欲了解上述基金的详细情况，请仔细阅读上述基金的基金合同、基金招募说明书或招募说明书（更新）等法律文件。</w:t>
      </w:r>
    </w:p>
    <w:p w:rsidR="005D29D1" w:rsidRDefault="005D29D1">
      <w:pPr>
        <w:adjustRightInd w:val="0"/>
        <w:snapToGrid w:val="0"/>
        <w:spacing w:line="360" w:lineRule="auto"/>
        <w:ind w:left="420"/>
        <w:rPr>
          <w:rFonts w:ascii="Arial" w:hAnsi="宋体" w:cs="Arial"/>
          <w:kern w:val="0"/>
          <w:szCs w:val="21"/>
        </w:rPr>
      </w:pPr>
    </w:p>
    <w:p w:rsidR="005D29D1" w:rsidRDefault="001F5CF4">
      <w:pPr>
        <w:adjustRightInd w:val="0"/>
        <w:snapToGrid w:val="0"/>
        <w:spacing w:line="360" w:lineRule="auto"/>
        <w:ind w:left="420"/>
        <w:rPr>
          <w:rFonts w:ascii="Arial" w:hAnsi="宋体" w:cs="Arial"/>
          <w:kern w:val="0"/>
          <w:szCs w:val="21"/>
        </w:rPr>
      </w:pPr>
      <w:r>
        <w:rPr>
          <w:rFonts w:ascii="Arial" w:hAnsi="宋体" w:cs="Arial"/>
          <w:kern w:val="0"/>
          <w:szCs w:val="21"/>
        </w:rPr>
        <w:t>特此公告。</w:t>
      </w:r>
    </w:p>
    <w:p w:rsidR="005D29D1" w:rsidRDefault="005D29D1">
      <w:pPr>
        <w:adjustRightInd w:val="0"/>
        <w:snapToGrid w:val="0"/>
        <w:spacing w:line="360" w:lineRule="auto"/>
        <w:rPr>
          <w:rFonts w:ascii="宋体" w:hAnsi="宋体" w:cs="Arial"/>
          <w:kern w:val="0"/>
          <w:szCs w:val="21"/>
        </w:rPr>
      </w:pPr>
    </w:p>
    <w:p w:rsidR="005D29D1" w:rsidRDefault="005D29D1">
      <w:pPr>
        <w:adjustRightInd w:val="0"/>
        <w:snapToGrid w:val="0"/>
        <w:spacing w:line="360" w:lineRule="auto"/>
        <w:ind w:firstLineChars="200" w:firstLine="420"/>
        <w:rPr>
          <w:rFonts w:ascii="宋体" w:hAnsi="宋体" w:cs="Arial"/>
          <w:kern w:val="0"/>
          <w:szCs w:val="21"/>
        </w:rPr>
      </w:pPr>
    </w:p>
    <w:p w:rsidR="005D29D1" w:rsidRDefault="005D29D1">
      <w:pPr>
        <w:adjustRightInd w:val="0"/>
        <w:snapToGrid w:val="0"/>
        <w:spacing w:line="360" w:lineRule="auto"/>
        <w:ind w:firstLineChars="200" w:firstLine="420"/>
        <w:rPr>
          <w:rFonts w:ascii="宋体" w:hAnsi="宋体" w:cs="Arial"/>
          <w:kern w:val="0"/>
          <w:szCs w:val="21"/>
        </w:rPr>
      </w:pPr>
    </w:p>
    <w:p w:rsidR="005D29D1" w:rsidRDefault="001F5CF4">
      <w:pPr>
        <w:adjustRightInd w:val="0"/>
        <w:snapToGrid w:val="0"/>
        <w:spacing w:line="360" w:lineRule="auto"/>
        <w:ind w:firstLineChars="200" w:firstLine="420"/>
        <w:jc w:val="right"/>
        <w:rPr>
          <w:rFonts w:ascii="宋体" w:hAnsi="宋体" w:cs="Arial"/>
          <w:kern w:val="0"/>
          <w:szCs w:val="21"/>
        </w:rPr>
      </w:pPr>
      <w:r>
        <w:rPr>
          <w:rFonts w:ascii="宋体" w:hAnsi="宋体" w:cs="Arial"/>
          <w:kern w:val="0"/>
          <w:szCs w:val="21"/>
        </w:rPr>
        <w:t>博时基金管理有限公司</w:t>
      </w:r>
    </w:p>
    <w:p w:rsidR="005D29D1" w:rsidRDefault="001F5CF4">
      <w:pPr>
        <w:adjustRightInd w:val="0"/>
        <w:snapToGrid w:val="0"/>
        <w:spacing w:line="360" w:lineRule="auto"/>
        <w:ind w:firstLineChars="1800" w:firstLine="3780"/>
        <w:jc w:val="right"/>
        <w:rPr>
          <w:rFonts w:ascii="宋体" w:hAnsi="宋体" w:cs="Arial"/>
          <w:kern w:val="0"/>
          <w:szCs w:val="21"/>
        </w:rPr>
      </w:pPr>
      <w:r>
        <w:rPr>
          <w:rFonts w:ascii="宋体" w:hAnsi="宋体" w:cs="Arial" w:hint="eastAsia"/>
          <w:kern w:val="0"/>
          <w:szCs w:val="21"/>
        </w:rPr>
        <w:t>202</w:t>
      </w:r>
      <w:r>
        <w:rPr>
          <w:rFonts w:ascii="宋体" w:hAnsi="宋体" w:cs="Arial" w:hint="eastAsia"/>
          <w:kern w:val="0"/>
          <w:szCs w:val="21"/>
        </w:rPr>
        <w:t>2</w:t>
      </w:r>
      <w:r>
        <w:rPr>
          <w:rFonts w:ascii="宋体" w:hAnsi="宋体" w:cs="Arial"/>
          <w:kern w:val="0"/>
          <w:szCs w:val="21"/>
        </w:rPr>
        <w:t>年</w:t>
      </w:r>
      <w:r>
        <w:rPr>
          <w:rFonts w:ascii="宋体" w:hAnsi="宋体" w:cs="Arial" w:hint="eastAsia"/>
          <w:kern w:val="0"/>
          <w:szCs w:val="21"/>
        </w:rPr>
        <w:t>7</w:t>
      </w:r>
      <w:r>
        <w:rPr>
          <w:rFonts w:ascii="宋体" w:hAnsi="宋体" w:cs="Arial"/>
          <w:kern w:val="0"/>
          <w:szCs w:val="21"/>
        </w:rPr>
        <w:t>月</w:t>
      </w:r>
      <w:r>
        <w:rPr>
          <w:rFonts w:ascii="宋体" w:hAnsi="宋体" w:cs="Arial" w:hint="eastAsia"/>
          <w:kern w:val="0"/>
          <w:szCs w:val="21"/>
        </w:rPr>
        <w:t>21</w:t>
      </w:r>
      <w:r>
        <w:rPr>
          <w:rFonts w:ascii="宋体" w:hAnsi="宋体" w:cs="Arial"/>
          <w:kern w:val="0"/>
          <w:szCs w:val="21"/>
        </w:rPr>
        <w:t>日</w:t>
      </w:r>
    </w:p>
    <w:p w:rsidR="005D29D1" w:rsidRDefault="005D29D1"/>
    <w:sectPr w:rsidR="005D29D1" w:rsidSect="005D29D1">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D1" w:rsidRDefault="005D29D1" w:rsidP="005D29D1">
      <w:r>
        <w:separator/>
      </w:r>
    </w:p>
  </w:endnote>
  <w:endnote w:type="continuationSeparator" w:id="0">
    <w:p w:rsidR="005D29D1" w:rsidRDefault="005D29D1" w:rsidP="005D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D1" w:rsidRDefault="005D29D1" w:rsidP="005D29D1">
      <w:r>
        <w:separator/>
      </w:r>
    </w:p>
  </w:footnote>
  <w:footnote w:type="continuationSeparator" w:id="0">
    <w:p w:rsidR="005D29D1" w:rsidRDefault="005D29D1" w:rsidP="005D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D1" w:rsidRDefault="005D29D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5FBF"/>
    <w:multiLevelType w:val="multilevel"/>
    <w:tmpl w:val="45395FB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B0056A"/>
    <w:rsid w:val="001F5CF4"/>
    <w:rsid w:val="005D29D1"/>
    <w:rsid w:val="088140DC"/>
    <w:rsid w:val="17EC269A"/>
    <w:rsid w:val="3AD6185F"/>
    <w:rsid w:val="41B0056A"/>
    <w:rsid w:val="6E174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9D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5D29D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4</DocSecurity>
  <Lines>8</Lines>
  <Paragraphs>2</Paragraphs>
  <ScaleCrop>false</ScaleCrop>
  <Company>CNSTOCK</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张敏婕</dc:creator>
  <cp:lastModifiedBy>ZHONGM</cp:lastModifiedBy>
  <cp:revision>2</cp:revision>
  <dcterms:created xsi:type="dcterms:W3CDTF">2022-07-20T16:05:00Z</dcterms:created>
  <dcterms:modified xsi:type="dcterms:W3CDTF">2022-07-20T16:05:00Z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710BAE4A21A541C19197C4CCFB3377BB</vt:lpwstr>
  </property>
</Properties>
</file>