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4D" w:rsidRDefault="007000D9">
      <w:pPr>
        <w:ind w:firstLineChars="50" w:firstLine="16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中银基金管理有限公司旗下</w:t>
      </w:r>
      <w:r w:rsidR="000E75FA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部分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基金</w:t>
      </w:r>
    </w:p>
    <w:p w:rsidR="00B55B4D" w:rsidRDefault="000E75FA">
      <w:pPr>
        <w:ind w:firstLineChars="50" w:firstLine="16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2022</w:t>
      </w:r>
      <w:r w:rsidR="007000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年</w:t>
      </w:r>
      <w:r w:rsidR="008E091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第</w:t>
      </w:r>
      <w:r w:rsidR="00EC55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二</w:t>
      </w:r>
      <w:r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季度</w:t>
      </w:r>
      <w:r w:rsidR="007000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报告提示性公告</w:t>
      </w:r>
    </w:p>
    <w:p w:rsidR="00B55B4D" w:rsidRDefault="00B55B4D">
      <w:pPr>
        <w:ind w:firstLineChars="50" w:firstLine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5B4D" w:rsidRDefault="007000D9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本公司董事会及董事保证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基金</w:t>
      </w:r>
      <w:r w:rsidR="000E75F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季度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B55B4D" w:rsidRDefault="007000D9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中银基金管理有限公司旗下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：</w:t>
      </w:r>
    </w:p>
    <w:tbl>
      <w:tblPr>
        <w:tblStyle w:val="a9"/>
        <w:tblW w:w="0" w:type="auto"/>
        <w:jc w:val="center"/>
        <w:tblLook w:val="04A0"/>
      </w:tblPr>
      <w:tblGrid>
        <w:gridCol w:w="817"/>
        <w:gridCol w:w="6095"/>
      </w:tblGrid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中银中国精选混合型开放式证券投资基金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中银持续增长混合型证券投资基金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中银收益混合型证券投资基金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中银动态策略混合型证券投资基金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中银稳健增利债券型证券投资基金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中银行业优选灵活配置混合型证券投资基金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中银中证</w:t>
            </w: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  <w:r>
              <w:rPr>
                <w:rFonts w:hint="eastAsia"/>
                <w:color w:val="000000"/>
                <w:sz w:val="18"/>
                <w:szCs w:val="18"/>
              </w:rPr>
              <w:t>指数增强型证券投资基金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中银蓝筹精选灵活配置混合型证券投资基金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中银价值精选灵活配置混合型证券投资基金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10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中银稳健双利债券型证券投资基金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11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中银全球策略证券投资基金</w:t>
            </w:r>
            <w:r>
              <w:rPr>
                <w:rFonts w:hint="eastAsia"/>
                <w:color w:val="000000"/>
                <w:sz w:val="18"/>
                <w:szCs w:val="18"/>
              </w:rPr>
              <w:t>(FOF)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12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上证国有企业</w:t>
            </w: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  <w:r>
              <w:rPr>
                <w:rFonts w:hint="eastAsia"/>
                <w:color w:val="000000"/>
                <w:sz w:val="18"/>
                <w:szCs w:val="18"/>
              </w:rPr>
              <w:t>交易型开放式指数证券投资基金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13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中银转债增强债券型证券投资基金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14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中银中小盘成长混合型证券投资基金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15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中银信用增利债券型证券投资基金</w:t>
            </w:r>
            <w:r>
              <w:rPr>
                <w:rFonts w:hint="eastAsia"/>
                <w:color w:val="000000"/>
                <w:sz w:val="18"/>
                <w:szCs w:val="18"/>
              </w:rPr>
              <w:t>(LOF)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16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中银沪深</w:t>
            </w:r>
            <w:r>
              <w:rPr>
                <w:rFonts w:hint="eastAsia"/>
                <w:color w:val="000000"/>
                <w:sz w:val="18"/>
                <w:szCs w:val="18"/>
              </w:rPr>
              <w:t>300</w:t>
            </w:r>
            <w:r>
              <w:rPr>
                <w:rFonts w:hint="eastAsia"/>
                <w:color w:val="000000"/>
                <w:sz w:val="18"/>
                <w:szCs w:val="18"/>
              </w:rPr>
              <w:t>等权重指数证券投资基金</w:t>
            </w:r>
            <w:r>
              <w:rPr>
                <w:rFonts w:hint="eastAsia"/>
                <w:color w:val="000000"/>
                <w:sz w:val="18"/>
                <w:szCs w:val="18"/>
              </w:rPr>
              <w:t>(LOF)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17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中银主题策略混合型证券投资基金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18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中银稳健策略灵活配置混合型证券投资基金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19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中银添瑞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个月定期开放债券型证券投资基金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20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中银纯债债券型证券投资基金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21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中银聚享债券型证券投资基金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22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中银稳健添利债券型发起式证券投资基金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23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中银标普全球精选自然资源等权重指数证券投资基金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24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中银消费主题混合型证券投资基金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25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中银美丽中国混合型证券投资基金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26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中银新回报灵活配置混合型证券投资基金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27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中银互利半年定期开放债券型证券投资基金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28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中银惠利纯债半年定期开放债券型证券投资基金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29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中银中高等级债券型证券投资基金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30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中银优秀企业混合型证券投资基金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31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中银多策略灵活配置混合型证券投资基金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32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中银健康生活混合型证券投资基金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33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中银薪钱包货币市场基金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lastRenderedPageBreak/>
              <w:t>34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中银产业债债券型证券投资基金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35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中银新经济灵活配置混合型证券投资基金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36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中银安心回报半年定期开放债券型证券投资基金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37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中银研究精选灵活配置混合型证券投资基金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38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中银恒利半年定期开放债券型证券投资基金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39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中银新动力股票型证券投资基金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40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中银宏观策略灵活配置混合型证券投资基金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41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中银新趋势灵活配置混合型证券投资基金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42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中银智能制造股票型证券投资基金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43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中银国有企业债债券型证券投资基金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44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中银新财富灵活配置混合型证券投资基金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45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中银新机遇灵活配置混合型证券投资基金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46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中银战略新兴产业股票型证券投资基金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47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中银美元债债券型证券投资基金</w:t>
            </w:r>
            <w:r>
              <w:rPr>
                <w:rFonts w:hint="eastAsia"/>
                <w:color w:val="000000"/>
                <w:sz w:val="18"/>
                <w:szCs w:val="18"/>
              </w:rPr>
              <w:t>(QDII)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48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中银稳进策略灵活配置混合型证券投资基金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49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中银宝利灵活配置混合型证券投资基金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50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中银瑞利灵活配置混合型证券投资基金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51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中银珍利灵活配置混合型证券投资基金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52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中银鑫利灵活配置混合型证券投资基金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53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中银益利灵活配置混合型证券投资基金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54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中银裕利灵活配置混合型证券投资基金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55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中银腾利灵活配置混合型证券投资基金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56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中银永利半年定期开放债券型证券投资基金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57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中银季季红定期开放债券型证券投资基金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58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中银宏利灵活配置混合型证券投资基金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59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中银颐利灵活配置混合型证券投资基金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60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中银丰利灵活配置混合型证券投资基金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61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中银睿享定期开放债券型发起式证券投资基金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62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中银悦享定期开放债券型发起式证券投资基金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63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中银丰润定期开放债券型发起式证券投资基金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64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中银量化精选灵活配置混合型证券投资基金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65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中银广利灵活配置混合型证券投资基金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66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中银润利灵活配置混合型证券投资基金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67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中银锦利灵活配置混合型证券投资基金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68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中银丰庆定期开放债券型证券投资基金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69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中银富享定期开放债券型发起式证券投资基金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70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中银如意宝货币市场基金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71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中银丰和定期开放债券型发起式证券投资基金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72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中银金融地产混合型证券投资基金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73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中银信享定期开放债券型发起式证券投资基金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74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中银量化价值混合型证券投资基金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lastRenderedPageBreak/>
              <w:t>75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中银丰进定期开放债券型发起式证券投资基金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76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中银利享定期开放债券型证券投资基金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77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中银丰禧定期开放债券型发起式证券投资基金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78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中银丰荣定期开放债券型发起式证券投资基金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79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中银智享债券型证券投资基金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80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中银改革红利灵活配置混合型证券投资基金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81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中银泰享定期开放债券型发起式证券投资基金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82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中银景福回报混合型证券投资基金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83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中银医疗保健灵活配置混合型证券投资基金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84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中银中债</w:t>
            </w:r>
            <w:r>
              <w:rPr>
                <w:rFonts w:hint="eastAsia"/>
                <w:color w:val="000000"/>
                <w:sz w:val="18"/>
                <w:szCs w:val="18"/>
              </w:rPr>
              <w:t>3-5</w:t>
            </w:r>
            <w:r>
              <w:rPr>
                <w:rFonts w:hint="eastAsia"/>
                <w:color w:val="000000"/>
                <w:sz w:val="18"/>
                <w:szCs w:val="18"/>
              </w:rPr>
              <w:t>年期农发行债券指数证券投资基金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85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中银双息回报混合型证券投资基金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86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中银弘享债券型证券投资基金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87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中银稳汇短债债券型证券投资基金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88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中银安康稳健养老目标一年定期开放混合型基金中基金（</w:t>
            </w:r>
            <w:r>
              <w:rPr>
                <w:rFonts w:hint="eastAsia"/>
                <w:color w:val="000000"/>
                <w:sz w:val="18"/>
                <w:szCs w:val="18"/>
              </w:rPr>
              <w:t>FOF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89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中银景元回报混合型证券投资基金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90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中银中债</w:t>
            </w:r>
            <w:r>
              <w:rPr>
                <w:rFonts w:hint="eastAsia"/>
                <w:color w:val="000000"/>
                <w:sz w:val="18"/>
                <w:szCs w:val="18"/>
              </w:rPr>
              <w:t>1-3</w:t>
            </w:r>
            <w:r>
              <w:rPr>
                <w:rFonts w:hint="eastAsia"/>
                <w:color w:val="000000"/>
                <w:sz w:val="18"/>
                <w:szCs w:val="18"/>
              </w:rPr>
              <w:t>年期国开行债券指数证券投资基金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91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中银产业精选混合型证券投资基金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92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中银福建国有企业债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个月定期开放债券型证券投资基金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93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中银汇享债券型证券投资基金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94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中银民丰回报混合型证券投资基金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95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中银康享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个月定期开放债券型发起式证券投资基金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96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中银招利债券型证券投资基金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97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中银创新医疗混合型证券投资基金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98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中银恒裕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个月持有期债券型证券投资基金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99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中银宁享债券型证券投资基金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100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中银澳享一年定期开放债券型发起式证券投资基金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101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中银高质量发展机遇混合型证券投资基金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102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中银同享一年定期开放债券型发起式证券投资基金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103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中银安康平衡养老目标三年持有期混合型发起式基金中基金</w:t>
            </w:r>
            <w:r>
              <w:rPr>
                <w:rFonts w:hint="eastAsia"/>
                <w:color w:val="000000"/>
                <w:sz w:val="18"/>
                <w:szCs w:val="18"/>
              </w:rPr>
              <w:t>(FOF)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104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中银中证</w:t>
            </w: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  <w:r>
              <w:rPr>
                <w:rFonts w:hint="eastAsia"/>
                <w:color w:val="000000"/>
                <w:sz w:val="18"/>
                <w:szCs w:val="18"/>
              </w:rPr>
              <w:t>交易型开放式指数证券投资基金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105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中银恒优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个月持有期债券型证券投资基金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106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中银大健康股票型证券投资基金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107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中银亚太精选债券型证券投资基金</w:t>
            </w:r>
            <w:r>
              <w:rPr>
                <w:rFonts w:hint="eastAsia"/>
                <w:color w:val="000000"/>
                <w:sz w:val="18"/>
                <w:szCs w:val="18"/>
              </w:rPr>
              <w:t>(QDII)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108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中银顺兴回报一年持有期混合型证券投资基金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109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中银中证</w:t>
            </w:r>
            <w:r>
              <w:rPr>
                <w:rFonts w:hint="eastAsia"/>
                <w:color w:val="000000"/>
                <w:sz w:val="18"/>
                <w:szCs w:val="18"/>
              </w:rPr>
              <w:t>800</w:t>
            </w:r>
            <w:r>
              <w:rPr>
                <w:rFonts w:hint="eastAsia"/>
                <w:color w:val="000000"/>
                <w:sz w:val="18"/>
                <w:szCs w:val="18"/>
              </w:rPr>
              <w:t>交易型开放式指数证券投资基金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110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中银科技创新一年定期开放混合型证券投资基金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111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中银内核驱动股票型证券投资基金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112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中银上海金交易型开放式证券投资基金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113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中银景泰回报混合型证券投资基金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114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中银上海金交易型开放式证券投资基金联接基金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115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中银养老目标日期</w:t>
            </w:r>
            <w:r>
              <w:rPr>
                <w:rFonts w:hint="eastAsia"/>
                <w:color w:val="000000"/>
                <w:sz w:val="18"/>
                <w:szCs w:val="18"/>
              </w:rPr>
              <w:t>2040</w:t>
            </w:r>
            <w:r>
              <w:rPr>
                <w:rFonts w:hint="eastAsia"/>
                <w:color w:val="000000"/>
                <w:sz w:val="18"/>
                <w:szCs w:val="18"/>
              </w:rPr>
              <w:t>三年持有期混合型发起式基金中基金</w:t>
            </w:r>
            <w:r>
              <w:rPr>
                <w:rFonts w:hint="eastAsia"/>
                <w:color w:val="000000"/>
                <w:sz w:val="18"/>
                <w:szCs w:val="18"/>
              </w:rPr>
              <w:t>(FOF)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116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中银中证</w:t>
            </w: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  <w:r>
              <w:rPr>
                <w:rFonts w:hint="eastAsia"/>
                <w:color w:val="000000"/>
                <w:sz w:val="18"/>
                <w:szCs w:val="18"/>
              </w:rPr>
              <w:t>交易型开放式指数证券投资基金联接基金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117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中银顺盈回报一年持有期混合型证券投资基金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118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中银成长优选股票型证券投资基金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119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中银彭博巴克莱政策性银行债券</w:t>
            </w:r>
            <w:r>
              <w:rPr>
                <w:rFonts w:hint="eastAsia"/>
                <w:color w:val="000000"/>
                <w:sz w:val="18"/>
                <w:szCs w:val="18"/>
              </w:rPr>
              <w:t>1-5</w:t>
            </w:r>
            <w:r>
              <w:rPr>
                <w:rFonts w:hint="eastAsia"/>
                <w:color w:val="000000"/>
                <w:sz w:val="18"/>
                <w:szCs w:val="18"/>
              </w:rPr>
              <w:t>年指数证券投资基金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120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中银顺泽回报一年持有期混合型证券投资基金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121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中银睿丰回报混合型证券投资基金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122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中银港股通优势成长股票型证券投资基金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123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中银恒泰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个月持有期债券型证券投资基金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124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中银嘉享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个月定期开放债券型证券投资基金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125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中银顺宁回报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个月持有期混合型证券投资基金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126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中银通利债券型基金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127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中银鑫新消费成长混合型证券投资基金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128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中银兴利稳健回报一年封闭运作灵活配置混合型证券投资基金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129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中银添禧丰禄稳健养老目标一年持有期混合型基金中基金（</w:t>
            </w:r>
            <w:r>
              <w:rPr>
                <w:rFonts w:hint="eastAsia"/>
                <w:color w:val="000000"/>
                <w:sz w:val="18"/>
                <w:szCs w:val="18"/>
              </w:rPr>
              <w:t>FOF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130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中银恒嘉</w:t>
            </w:r>
            <w:r>
              <w:rPr>
                <w:rFonts w:hint="eastAsia"/>
                <w:color w:val="000000"/>
                <w:sz w:val="18"/>
                <w:szCs w:val="18"/>
              </w:rPr>
              <w:t>60</w:t>
            </w:r>
            <w:r>
              <w:rPr>
                <w:rFonts w:hint="eastAsia"/>
                <w:color w:val="000000"/>
                <w:sz w:val="18"/>
                <w:szCs w:val="18"/>
              </w:rPr>
              <w:t>天滚动持有短债债券型证券投资基金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131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中银核心精选混合型证券投资基金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132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中银中证</w:t>
            </w:r>
            <w:r>
              <w:rPr>
                <w:rFonts w:hint="eastAsia"/>
                <w:color w:val="000000"/>
                <w:sz w:val="18"/>
                <w:szCs w:val="18"/>
              </w:rPr>
              <w:t>800</w:t>
            </w:r>
            <w:r>
              <w:rPr>
                <w:rFonts w:hint="eastAsia"/>
                <w:color w:val="000000"/>
                <w:sz w:val="18"/>
                <w:szCs w:val="18"/>
              </w:rPr>
              <w:t>交易型开放式指数证券投资基金发起式联接基金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133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中银恒悦</w:t>
            </w:r>
            <w:r>
              <w:rPr>
                <w:rFonts w:hint="eastAsia"/>
                <w:color w:val="000000"/>
                <w:sz w:val="18"/>
                <w:szCs w:val="18"/>
              </w:rPr>
              <w:t>180</w:t>
            </w:r>
            <w:r>
              <w:rPr>
                <w:rFonts w:hint="eastAsia"/>
                <w:color w:val="000000"/>
                <w:sz w:val="18"/>
                <w:szCs w:val="18"/>
              </w:rPr>
              <w:t>天持有期债券型证券投资基金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134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中银民利一年持有期债券型证券投资基金</w:t>
            </w:r>
          </w:p>
        </w:tc>
      </w:tr>
      <w:tr w:rsidR="002B7804" w:rsidTr="002B7804">
        <w:trPr>
          <w:jc w:val="center"/>
        </w:trPr>
        <w:tc>
          <w:tcPr>
            <w:tcW w:w="817" w:type="dxa"/>
          </w:tcPr>
          <w:p w:rsidR="002B7804" w:rsidRDefault="002B7804" w:rsidP="002B7804">
            <w:r w:rsidRPr="009925F5">
              <w:t>135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中银养老目标日期</w:t>
            </w:r>
            <w:r>
              <w:rPr>
                <w:rFonts w:hint="eastAsia"/>
                <w:color w:val="000000"/>
                <w:sz w:val="18"/>
                <w:szCs w:val="18"/>
              </w:rPr>
              <w:t>2050</w:t>
            </w:r>
            <w:r>
              <w:rPr>
                <w:rFonts w:hint="eastAsia"/>
                <w:color w:val="000000"/>
                <w:sz w:val="18"/>
                <w:szCs w:val="18"/>
              </w:rPr>
              <w:t>五年持有期混合型发起式基金中基金</w:t>
            </w:r>
            <w:r>
              <w:rPr>
                <w:rFonts w:hint="eastAsia"/>
                <w:color w:val="000000"/>
                <w:sz w:val="18"/>
                <w:szCs w:val="18"/>
              </w:rPr>
              <w:t>(FOF)</w:t>
            </w:r>
          </w:p>
        </w:tc>
      </w:tr>
    </w:tbl>
    <w:p w:rsidR="00B55B4D" w:rsidRPr="005C3541" w:rsidRDefault="00B55B4D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B4D" w:rsidRDefault="007000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的</w:t>
      </w:r>
      <w:r w:rsidR="000E75F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季度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报告全文于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5C35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  <w:r w:rsidR="00EC55F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月</w:t>
      </w:r>
      <w:r w:rsidR="002B780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日在本公司网站（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http://www.bocim.com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）和中国证监会基金电子披露网站（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http://eid.csrc.gov.cn/fund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）披露，供投资者查阅。如有疑问可拨打本公司客服电话（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4008885566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021-38834788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）咨询。</w:t>
      </w:r>
    </w:p>
    <w:p w:rsidR="00B55B4D" w:rsidRDefault="007000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B55B4D" w:rsidRDefault="007000D9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特此公告。</w:t>
      </w:r>
      <w:bookmarkStart w:id="0" w:name="_GoBack"/>
      <w:bookmarkEnd w:id="0"/>
    </w:p>
    <w:p w:rsidR="00B55B4D" w:rsidRDefault="00B55B4D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B4D" w:rsidRDefault="00B55B4D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B4D" w:rsidRDefault="007000D9">
      <w:pPr>
        <w:ind w:firstLineChars="250" w:firstLine="6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中银基金管理有限公司</w:t>
      </w:r>
    </w:p>
    <w:p w:rsidR="00B55B4D" w:rsidRDefault="007000D9">
      <w:pPr>
        <w:ind w:firstLineChars="250" w:firstLine="6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5C35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  <w:r w:rsidR="00EC55F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月</w:t>
      </w:r>
      <w:r w:rsidR="002B780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日</w:t>
      </w:r>
    </w:p>
    <w:sectPr w:rsidR="00B55B4D" w:rsidSect="00341C49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0AA" w:rsidRDefault="006B30AA">
      <w:r>
        <w:separator/>
      </w:r>
    </w:p>
  </w:endnote>
  <w:endnote w:type="continuationSeparator" w:id="0">
    <w:p w:rsidR="006B30AA" w:rsidRDefault="006B3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AutoText"/>
      </w:docPartObj>
    </w:sdtPr>
    <w:sdtContent>
      <w:p w:rsidR="00B55B4D" w:rsidRDefault="00341C49">
        <w:pPr>
          <w:pStyle w:val="a5"/>
          <w:jc w:val="center"/>
        </w:pPr>
        <w:r>
          <w:fldChar w:fldCharType="begin"/>
        </w:r>
        <w:r w:rsidR="007000D9">
          <w:instrText>PAGE   \* MERGEFORMAT</w:instrText>
        </w:r>
        <w:r>
          <w:fldChar w:fldCharType="separate"/>
        </w:r>
        <w:r w:rsidR="009F00D3" w:rsidRPr="009F00D3">
          <w:rPr>
            <w:noProof/>
            <w:lang w:val="zh-CN"/>
          </w:rPr>
          <w:t>2</w:t>
        </w:r>
        <w:r>
          <w:fldChar w:fldCharType="end"/>
        </w:r>
      </w:p>
    </w:sdtContent>
  </w:sdt>
  <w:p w:rsidR="00B55B4D" w:rsidRDefault="00B55B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AutoText"/>
      </w:docPartObj>
    </w:sdtPr>
    <w:sdtContent>
      <w:p w:rsidR="00B55B4D" w:rsidRDefault="00341C49">
        <w:pPr>
          <w:pStyle w:val="a5"/>
          <w:jc w:val="center"/>
        </w:pPr>
        <w:r>
          <w:fldChar w:fldCharType="begin"/>
        </w:r>
        <w:r w:rsidR="007000D9">
          <w:instrText>PAGE   \* MERGEFORMAT</w:instrText>
        </w:r>
        <w:r>
          <w:fldChar w:fldCharType="separate"/>
        </w:r>
        <w:r w:rsidR="009F00D3" w:rsidRPr="009F00D3">
          <w:rPr>
            <w:noProof/>
            <w:lang w:val="zh-CN"/>
          </w:rPr>
          <w:t>1</w:t>
        </w:r>
        <w:r>
          <w:fldChar w:fldCharType="end"/>
        </w:r>
      </w:p>
    </w:sdtContent>
  </w:sdt>
  <w:p w:rsidR="00B55B4D" w:rsidRDefault="00B55B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0AA" w:rsidRDefault="006B30AA">
      <w:r>
        <w:separator/>
      </w:r>
    </w:p>
  </w:footnote>
  <w:footnote w:type="continuationSeparator" w:id="0">
    <w:p w:rsidR="006B30AA" w:rsidRDefault="006B30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05FF"/>
    <w:rsid w:val="00001760"/>
    <w:rsid w:val="00010044"/>
    <w:rsid w:val="00010AB6"/>
    <w:rsid w:val="00017181"/>
    <w:rsid w:val="00022ABD"/>
    <w:rsid w:val="00025D40"/>
    <w:rsid w:val="000300E5"/>
    <w:rsid w:val="0003246C"/>
    <w:rsid w:val="00033010"/>
    <w:rsid w:val="00033204"/>
    <w:rsid w:val="00046029"/>
    <w:rsid w:val="000475F0"/>
    <w:rsid w:val="00051CD1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5B89"/>
    <w:rsid w:val="000E13E9"/>
    <w:rsid w:val="000E1BE7"/>
    <w:rsid w:val="000E5C6C"/>
    <w:rsid w:val="000E75FA"/>
    <w:rsid w:val="000E7D66"/>
    <w:rsid w:val="000F07E6"/>
    <w:rsid w:val="000F407E"/>
    <w:rsid w:val="000F6458"/>
    <w:rsid w:val="001039BC"/>
    <w:rsid w:val="001279BE"/>
    <w:rsid w:val="00127F23"/>
    <w:rsid w:val="0013251E"/>
    <w:rsid w:val="0014012D"/>
    <w:rsid w:val="001405B4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76E6"/>
    <w:rsid w:val="00191702"/>
    <w:rsid w:val="00192262"/>
    <w:rsid w:val="00194789"/>
    <w:rsid w:val="001A593B"/>
    <w:rsid w:val="001B5F2A"/>
    <w:rsid w:val="001C1398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6E26"/>
    <w:rsid w:val="00261CDE"/>
    <w:rsid w:val="0026276F"/>
    <w:rsid w:val="00276CA4"/>
    <w:rsid w:val="002823E9"/>
    <w:rsid w:val="00282A7F"/>
    <w:rsid w:val="00284E14"/>
    <w:rsid w:val="00293DE4"/>
    <w:rsid w:val="00294058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804"/>
    <w:rsid w:val="002B7B4F"/>
    <w:rsid w:val="002C01D9"/>
    <w:rsid w:val="002C5D36"/>
    <w:rsid w:val="002D257B"/>
    <w:rsid w:val="002E24D1"/>
    <w:rsid w:val="002E79D9"/>
    <w:rsid w:val="002E7B0A"/>
    <w:rsid w:val="002F2B53"/>
    <w:rsid w:val="00303860"/>
    <w:rsid w:val="00311075"/>
    <w:rsid w:val="003117E6"/>
    <w:rsid w:val="00312679"/>
    <w:rsid w:val="0031471A"/>
    <w:rsid w:val="00314A76"/>
    <w:rsid w:val="00325197"/>
    <w:rsid w:val="00332619"/>
    <w:rsid w:val="00333802"/>
    <w:rsid w:val="00336301"/>
    <w:rsid w:val="00341C49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A6CD0"/>
    <w:rsid w:val="003C0A7B"/>
    <w:rsid w:val="003C2820"/>
    <w:rsid w:val="003C3CB5"/>
    <w:rsid w:val="003C5A1A"/>
    <w:rsid w:val="003D0424"/>
    <w:rsid w:val="003D319F"/>
    <w:rsid w:val="003D32D7"/>
    <w:rsid w:val="003D4F60"/>
    <w:rsid w:val="003F4E13"/>
    <w:rsid w:val="003F6647"/>
    <w:rsid w:val="003F6960"/>
    <w:rsid w:val="0040020D"/>
    <w:rsid w:val="00405ADB"/>
    <w:rsid w:val="00423B54"/>
    <w:rsid w:val="004254EE"/>
    <w:rsid w:val="00430D19"/>
    <w:rsid w:val="00433480"/>
    <w:rsid w:val="0043655D"/>
    <w:rsid w:val="00437D86"/>
    <w:rsid w:val="00441246"/>
    <w:rsid w:val="00441E0B"/>
    <w:rsid w:val="00445360"/>
    <w:rsid w:val="00452A46"/>
    <w:rsid w:val="00454581"/>
    <w:rsid w:val="00454978"/>
    <w:rsid w:val="0045774B"/>
    <w:rsid w:val="0046544F"/>
    <w:rsid w:val="00467E81"/>
    <w:rsid w:val="004744B6"/>
    <w:rsid w:val="004748B9"/>
    <w:rsid w:val="00477BA8"/>
    <w:rsid w:val="00477EB2"/>
    <w:rsid w:val="0048111A"/>
    <w:rsid w:val="00487BF1"/>
    <w:rsid w:val="00491FCB"/>
    <w:rsid w:val="00494E42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0596"/>
    <w:rsid w:val="005158A6"/>
    <w:rsid w:val="0052094C"/>
    <w:rsid w:val="00534A41"/>
    <w:rsid w:val="0053650E"/>
    <w:rsid w:val="00542535"/>
    <w:rsid w:val="00544E6E"/>
    <w:rsid w:val="00547910"/>
    <w:rsid w:val="00551033"/>
    <w:rsid w:val="00556D61"/>
    <w:rsid w:val="00560AC4"/>
    <w:rsid w:val="00563FE4"/>
    <w:rsid w:val="00567A02"/>
    <w:rsid w:val="005711D9"/>
    <w:rsid w:val="005751C6"/>
    <w:rsid w:val="00582D8F"/>
    <w:rsid w:val="005837B0"/>
    <w:rsid w:val="0059078D"/>
    <w:rsid w:val="00596AC1"/>
    <w:rsid w:val="005A408B"/>
    <w:rsid w:val="005A46AE"/>
    <w:rsid w:val="005A77EA"/>
    <w:rsid w:val="005B5746"/>
    <w:rsid w:val="005C00AF"/>
    <w:rsid w:val="005C190C"/>
    <w:rsid w:val="005C3541"/>
    <w:rsid w:val="005C7C95"/>
    <w:rsid w:val="005D2056"/>
    <w:rsid w:val="005D3C24"/>
    <w:rsid w:val="005D4528"/>
    <w:rsid w:val="005D54F3"/>
    <w:rsid w:val="005E088E"/>
    <w:rsid w:val="005E0F00"/>
    <w:rsid w:val="005F4D9C"/>
    <w:rsid w:val="005F559E"/>
    <w:rsid w:val="005F780D"/>
    <w:rsid w:val="005F7E5C"/>
    <w:rsid w:val="00602843"/>
    <w:rsid w:val="00604996"/>
    <w:rsid w:val="00605B67"/>
    <w:rsid w:val="006163B1"/>
    <w:rsid w:val="00616874"/>
    <w:rsid w:val="00624905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1BB8"/>
    <w:rsid w:val="006B30AA"/>
    <w:rsid w:val="006B4697"/>
    <w:rsid w:val="006D0ADE"/>
    <w:rsid w:val="006D17EF"/>
    <w:rsid w:val="006E4941"/>
    <w:rsid w:val="006E55E9"/>
    <w:rsid w:val="006E5DE5"/>
    <w:rsid w:val="006E7335"/>
    <w:rsid w:val="006F1E9F"/>
    <w:rsid w:val="006F4857"/>
    <w:rsid w:val="006F6724"/>
    <w:rsid w:val="0070004D"/>
    <w:rsid w:val="007000D9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1659"/>
    <w:rsid w:val="0074144B"/>
    <w:rsid w:val="00741A3E"/>
    <w:rsid w:val="007443C2"/>
    <w:rsid w:val="00756CAD"/>
    <w:rsid w:val="00760C01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6E98"/>
    <w:rsid w:val="007F136D"/>
    <w:rsid w:val="007F3D14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63A9"/>
    <w:rsid w:val="008A1AFA"/>
    <w:rsid w:val="008A2CE2"/>
    <w:rsid w:val="008A3460"/>
    <w:rsid w:val="008B539C"/>
    <w:rsid w:val="008B77D5"/>
    <w:rsid w:val="008C155D"/>
    <w:rsid w:val="008D4634"/>
    <w:rsid w:val="008E0912"/>
    <w:rsid w:val="008E0F6D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6367"/>
    <w:rsid w:val="00936C1B"/>
    <w:rsid w:val="009465EA"/>
    <w:rsid w:val="009506DC"/>
    <w:rsid w:val="0095479A"/>
    <w:rsid w:val="009566C4"/>
    <w:rsid w:val="00956DD9"/>
    <w:rsid w:val="009628AE"/>
    <w:rsid w:val="009660DD"/>
    <w:rsid w:val="00967A04"/>
    <w:rsid w:val="00973509"/>
    <w:rsid w:val="00977BBE"/>
    <w:rsid w:val="00977E7B"/>
    <w:rsid w:val="00986792"/>
    <w:rsid w:val="009871EF"/>
    <w:rsid w:val="00990398"/>
    <w:rsid w:val="00991292"/>
    <w:rsid w:val="00991AEE"/>
    <w:rsid w:val="0099252E"/>
    <w:rsid w:val="00993CBF"/>
    <w:rsid w:val="00997D63"/>
    <w:rsid w:val="009A149B"/>
    <w:rsid w:val="009A4216"/>
    <w:rsid w:val="009B33C8"/>
    <w:rsid w:val="009B479A"/>
    <w:rsid w:val="009B5D57"/>
    <w:rsid w:val="009C15E2"/>
    <w:rsid w:val="009C1F27"/>
    <w:rsid w:val="009C33BF"/>
    <w:rsid w:val="009C3820"/>
    <w:rsid w:val="009D1E9D"/>
    <w:rsid w:val="009D5E7C"/>
    <w:rsid w:val="009E35EB"/>
    <w:rsid w:val="009E64F2"/>
    <w:rsid w:val="009E6E60"/>
    <w:rsid w:val="009E7875"/>
    <w:rsid w:val="009E79E5"/>
    <w:rsid w:val="009F00D3"/>
    <w:rsid w:val="009F132F"/>
    <w:rsid w:val="009F6095"/>
    <w:rsid w:val="009F72D1"/>
    <w:rsid w:val="009F7C09"/>
    <w:rsid w:val="00A144A6"/>
    <w:rsid w:val="00A16655"/>
    <w:rsid w:val="00A21627"/>
    <w:rsid w:val="00A37A94"/>
    <w:rsid w:val="00A41611"/>
    <w:rsid w:val="00A441B7"/>
    <w:rsid w:val="00A447AF"/>
    <w:rsid w:val="00A46430"/>
    <w:rsid w:val="00A500D4"/>
    <w:rsid w:val="00A5780A"/>
    <w:rsid w:val="00A62B15"/>
    <w:rsid w:val="00A63901"/>
    <w:rsid w:val="00A63F21"/>
    <w:rsid w:val="00A7247E"/>
    <w:rsid w:val="00A72BFA"/>
    <w:rsid w:val="00A72FCD"/>
    <w:rsid w:val="00A74844"/>
    <w:rsid w:val="00A801DB"/>
    <w:rsid w:val="00A81D7B"/>
    <w:rsid w:val="00A87DCB"/>
    <w:rsid w:val="00AB49A1"/>
    <w:rsid w:val="00AC1161"/>
    <w:rsid w:val="00AD14E8"/>
    <w:rsid w:val="00AD18DD"/>
    <w:rsid w:val="00AD562B"/>
    <w:rsid w:val="00AE0B53"/>
    <w:rsid w:val="00AE3F47"/>
    <w:rsid w:val="00AE69BF"/>
    <w:rsid w:val="00AF7347"/>
    <w:rsid w:val="00B01493"/>
    <w:rsid w:val="00B014DF"/>
    <w:rsid w:val="00B11B77"/>
    <w:rsid w:val="00B14FA6"/>
    <w:rsid w:val="00B16987"/>
    <w:rsid w:val="00B17EF5"/>
    <w:rsid w:val="00B2068A"/>
    <w:rsid w:val="00B23F95"/>
    <w:rsid w:val="00B25BAB"/>
    <w:rsid w:val="00B26285"/>
    <w:rsid w:val="00B331DD"/>
    <w:rsid w:val="00B33F4A"/>
    <w:rsid w:val="00B41297"/>
    <w:rsid w:val="00B504F2"/>
    <w:rsid w:val="00B517DE"/>
    <w:rsid w:val="00B51CE1"/>
    <w:rsid w:val="00B55B4D"/>
    <w:rsid w:val="00B61D0F"/>
    <w:rsid w:val="00B64EDD"/>
    <w:rsid w:val="00B65E43"/>
    <w:rsid w:val="00B725A0"/>
    <w:rsid w:val="00B7491E"/>
    <w:rsid w:val="00B763C4"/>
    <w:rsid w:val="00B91560"/>
    <w:rsid w:val="00B933D2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180B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11EF"/>
    <w:rsid w:val="00C11A1C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3390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6A67"/>
    <w:rsid w:val="00C972C4"/>
    <w:rsid w:val="00C97549"/>
    <w:rsid w:val="00CA1FEF"/>
    <w:rsid w:val="00CA25FC"/>
    <w:rsid w:val="00CA4D5E"/>
    <w:rsid w:val="00CA6A56"/>
    <w:rsid w:val="00CB1832"/>
    <w:rsid w:val="00CB2CEE"/>
    <w:rsid w:val="00CB4DE3"/>
    <w:rsid w:val="00CC2C51"/>
    <w:rsid w:val="00CC2F35"/>
    <w:rsid w:val="00CC40C3"/>
    <w:rsid w:val="00CD42C4"/>
    <w:rsid w:val="00CE43F8"/>
    <w:rsid w:val="00CE7C8B"/>
    <w:rsid w:val="00CF01CC"/>
    <w:rsid w:val="00CF6D5C"/>
    <w:rsid w:val="00D02807"/>
    <w:rsid w:val="00D10B1F"/>
    <w:rsid w:val="00D11E1F"/>
    <w:rsid w:val="00D20C81"/>
    <w:rsid w:val="00D23BBC"/>
    <w:rsid w:val="00D3262F"/>
    <w:rsid w:val="00D32A80"/>
    <w:rsid w:val="00D361FE"/>
    <w:rsid w:val="00D36E74"/>
    <w:rsid w:val="00D4058A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12F"/>
    <w:rsid w:val="00D937BD"/>
    <w:rsid w:val="00DA2D7C"/>
    <w:rsid w:val="00DB6F0A"/>
    <w:rsid w:val="00DD7BAA"/>
    <w:rsid w:val="00DE0FFA"/>
    <w:rsid w:val="00DE4168"/>
    <w:rsid w:val="00DE6A70"/>
    <w:rsid w:val="00DF3DF3"/>
    <w:rsid w:val="00DF5AA8"/>
    <w:rsid w:val="00E071C7"/>
    <w:rsid w:val="00E11D7D"/>
    <w:rsid w:val="00E1254C"/>
    <w:rsid w:val="00E16895"/>
    <w:rsid w:val="00E32614"/>
    <w:rsid w:val="00E33250"/>
    <w:rsid w:val="00E3526B"/>
    <w:rsid w:val="00E44423"/>
    <w:rsid w:val="00E5059C"/>
    <w:rsid w:val="00E54C06"/>
    <w:rsid w:val="00E5664A"/>
    <w:rsid w:val="00E7407A"/>
    <w:rsid w:val="00E7716F"/>
    <w:rsid w:val="00E81A0A"/>
    <w:rsid w:val="00E82030"/>
    <w:rsid w:val="00E964F7"/>
    <w:rsid w:val="00EA6F84"/>
    <w:rsid w:val="00EB6538"/>
    <w:rsid w:val="00EB7931"/>
    <w:rsid w:val="00EC55F6"/>
    <w:rsid w:val="00ED548C"/>
    <w:rsid w:val="00ED7F3F"/>
    <w:rsid w:val="00EF043C"/>
    <w:rsid w:val="00EF3A91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6A66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50E2"/>
    <w:rsid w:val="00FD658E"/>
    <w:rsid w:val="00FE0C5A"/>
    <w:rsid w:val="00FE13A2"/>
    <w:rsid w:val="00FE65DE"/>
    <w:rsid w:val="7D211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341C49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341C4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41C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341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rsid w:val="00341C49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sid w:val="00341C49"/>
    <w:rPr>
      <w:b/>
      <w:bCs/>
    </w:rPr>
  </w:style>
  <w:style w:type="table" w:styleId="a9">
    <w:name w:val="Table Grid"/>
    <w:basedOn w:val="a1"/>
    <w:uiPriority w:val="59"/>
    <w:rsid w:val="00341C4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41C49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341C49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rsid w:val="00341C49"/>
    <w:rPr>
      <w:vertAlign w:val="superscript"/>
    </w:rPr>
  </w:style>
  <w:style w:type="character" w:customStyle="1" w:styleId="Char2">
    <w:name w:val="页眉 Char"/>
    <w:basedOn w:val="a0"/>
    <w:link w:val="a6"/>
    <w:uiPriority w:val="99"/>
    <w:rsid w:val="00341C4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41C49"/>
    <w:rPr>
      <w:sz w:val="18"/>
      <w:szCs w:val="18"/>
    </w:rPr>
  </w:style>
  <w:style w:type="paragraph" w:styleId="ad">
    <w:name w:val="List Paragraph"/>
    <w:basedOn w:val="a"/>
    <w:uiPriority w:val="34"/>
    <w:qFormat/>
    <w:rsid w:val="00341C49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341C49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341C49"/>
  </w:style>
  <w:style w:type="character" w:customStyle="1" w:styleId="Char4">
    <w:name w:val="批注主题 Char"/>
    <w:basedOn w:val="Char"/>
    <w:link w:val="a8"/>
    <w:uiPriority w:val="99"/>
    <w:semiHidden/>
    <w:rsid w:val="00341C49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sid w:val="00341C49"/>
    <w:rPr>
      <w:sz w:val="18"/>
      <w:szCs w:val="18"/>
    </w:rPr>
  </w:style>
  <w:style w:type="paragraph" w:styleId="ae">
    <w:name w:val="Revision"/>
    <w:hidden/>
    <w:uiPriority w:val="99"/>
    <w:semiHidden/>
    <w:rsid w:val="000E75FA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349CC-EA5A-41AD-91AE-741C281A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3068</Characters>
  <Application>Microsoft Office Word</Application>
  <DocSecurity>4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2019-10-23T11:29:00Z</cp:lastPrinted>
  <dcterms:created xsi:type="dcterms:W3CDTF">2022-07-19T16:01:00Z</dcterms:created>
  <dcterms:modified xsi:type="dcterms:W3CDTF">2022-07-19T16:01:00Z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8EDE94C465C14ED686EE7E63A2A8A73A</vt:lpwstr>
  </property>
</Properties>
</file>