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F9" w:rsidRPr="00D74DEF" w:rsidRDefault="004C6FE9">
      <w:pPr>
        <w:spacing w:line="360" w:lineRule="auto"/>
        <w:jc w:val="center"/>
        <w:rPr>
          <w:rFonts w:ascii="Times New Roman" w:hAnsi="Times New Roman" w:cs="Times New Roman"/>
          <w:b/>
          <w:sz w:val="32"/>
          <w:szCs w:val="28"/>
        </w:rPr>
      </w:pPr>
      <w:bookmarkStart w:id="0" w:name="_GoBack"/>
      <w:r w:rsidRPr="00D74DEF">
        <w:rPr>
          <w:rFonts w:ascii="Times New Roman" w:hAnsi="Times New Roman" w:cs="Times New Roman"/>
          <w:b/>
          <w:sz w:val="32"/>
          <w:szCs w:val="28"/>
        </w:rPr>
        <w:t>关于民生加银平稳增利定期开放债券型证券投资基金</w:t>
      </w:r>
    </w:p>
    <w:p w:rsidR="00AE68F9" w:rsidRPr="00D74DEF" w:rsidRDefault="004C6FE9">
      <w:pPr>
        <w:spacing w:line="360" w:lineRule="auto"/>
        <w:jc w:val="center"/>
        <w:rPr>
          <w:rFonts w:ascii="Times New Roman" w:hAnsi="Times New Roman" w:cs="Times New Roman"/>
          <w:b/>
          <w:sz w:val="32"/>
          <w:szCs w:val="28"/>
        </w:rPr>
      </w:pPr>
      <w:r w:rsidRPr="00D74DEF">
        <w:rPr>
          <w:rFonts w:ascii="Times New Roman" w:hAnsi="Times New Roman" w:cs="Times New Roman" w:hint="eastAsia"/>
          <w:b/>
          <w:sz w:val="32"/>
          <w:szCs w:val="28"/>
        </w:rPr>
        <w:t>A</w:t>
      </w:r>
      <w:r w:rsidRPr="00D74DEF">
        <w:rPr>
          <w:rFonts w:ascii="Times New Roman" w:hAnsi="Times New Roman" w:cs="Times New Roman" w:hint="eastAsia"/>
          <w:b/>
          <w:sz w:val="32"/>
          <w:szCs w:val="28"/>
        </w:rPr>
        <w:t>类基金份额终止上市</w:t>
      </w:r>
      <w:r w:rsidRPr="00D74DEF">
        <w:rPr>
          <w:rFonts w:ascii="Times New Roman" w:hAnsi="Times New Roman" w:cs="Times New Roman"/>
          <w:b/>
          <w:sz w:val="32"/>
          <w:szCs w:val="28"/>
        </w:rPr>
        <w:t>的</w:t>
      </w:r>
      <w:r w:rsidR="001B3853" w:rsidRPr="00D74DEF">
        <w:rPr>
          <w:rFonts w:ascii="Times New Roman" w:hAnsi="Times New Roman" w:cs="Times New Roman" w:hint="eastAsia"/>
          <w:b/>
          <w:sz w:val="32"/>
          <w:szCs w:val="28"/>
        </w:rPr>
        <w:t>提示性</w:t>
      </w:r>
      <w:r w:rsidRPr="00D74DEF">
        <w:rPr>
          <w:rFonts w:ascii="Times New Roman" w:hAnsi="Times New Roman" w:cs="Times New Roman"/>
          <w:b/>
          <w:sz w:val="32"/>
          <w:szCs w:val="28"/>
        </w:rPr>
        <w:t>公告</w:t>
      </w:r>
    </w:p>
    <w:p w:rsidR="00AE68F9" w:rsidRPr="00D74DEF" w:rsidRDefault="00AE68F9">
      <w:pPr>
        <w:spacing w:line="360" w:lineRule="auto"/>
        <w:ind w:firstLineChars="201" w:firstLine="484"/>
        <w:jc w:val="center"/>
        <w:rPr>
          <w:rFonts w:ascii="Times New Roman" w:hAnsi="Times New Roman" w:cs="Times New Roman"/>
          <w:b/>
          <w:sz w:val="24"/>
          <w:szCs w:val="24"/>
        </w:rPr>
      </w:pPr>
    </w:p>
    <w:p w:rsidR="00AE68F9" w:rsidRPr="00D74DEF" w:rsidRDefault="004C6FE9">
      <w:pPr>
        <w:spacing w:line="360" w:lineRule="auto"/>
        <w:ind w:firstLineChars="201" w:firstLine="482"/>
        <w:rPr>
          <w:rFonts w:ascii="Times New Roman" w:hAnsi="Times New Roman" w:cs="Microsoft JhengHei"/>
          <w:bCs/>
          <w:sz w:val="24"/>
          <w:szCs w:val="32"/>
        </w:rPr>
      </w:pPr>
      <w:r w:rsidRPr="00D74DEF">
        <w:rPr>
          <w:rFonts w:ascii="Times New Roman" w:hAnsi="Times New Roman" w:cs="Microsoft JhengHei" w:hint="eastAsia"/>
          <w:bCs/>
          <w:sz w:val="24"/>
          <w:szCs w:val="32"/>
        </w:rPr>
        <w:t>民生加银基金管理有限公司（以下简称</w:t>
      </w:r>
      <w:r w:rsidR="0005723A" w:rsidRPr="00D74DEF">
        <w:rPr>
          <w:rFonts w:ascii="Times New Roman" w:hAnsi="Times New Roman" w:cs="Microsoft JhengHei" w:hint="eastAsia"/>
          <w:bCs/>
          <w:sz w:val="24"/>
          <w:szCs w:val="32"/>
        </w:rPr>
        <w:t>“</w:t>
      </w:r>
      <w:r w:rsidRPr="00D74DEF">
        <w:rPr>
          <w:rFonts w:ascii="Times New Roman" w:hAnsi="Times New Roman" w:cs="Microsoft JhengHei"/>
          <w:bCs/>
          <w:sz w:val="24"/>
          <w:szCs w:val="32"/>
        </w:rPr>
        <w:t>本基金管理人</w:t>
      </w:r>
      <w:r w:rsidR="0005723A" w:rsidRPr="00D74DEF">
        <w:rPr>
          <w:rFonts w:ascii="Times New Roman" w:hAnsi="Times New Roman" w:cs="Microsoft JhengHei" w:hint="eastAsia"/>
          <w:bCs/>
          <w:sz w:val="24"/>
          <w:szCs w:val="32"/>
        </w:rPr>
        <w:t>”</w:t>
      </w:r>
      <w:r w:rsidRPr="00D74DEF">
        <w:rPr>
          <w:rFonts w:ascii="Times New Roman" w:hAnsi="Times New Roman" w:cs="Microsoft JhengHei"/>
          <w:bCs/>
          <w:sz w:val="24"/>
          <w:szCs w:val="32"/>
        </w:rPr>
        <w:t>）旗下民生加银平稳增利定期开放债券型证券投资基金（以下简称</w:t>
      </w:r>
      <w:r w:rsidR="0005723A" w:rsidRPr="00D74DEF">
        <w:rPr>
          <w:rFonts w:ascii="Times New Roman" w:hAnsi="Times New Roman" w:cs="Microsoft JhengHei" w:hint="eastAsia"/>
          <w:bCs/>
          <w:sz w:val="24"/>
          <w:szCs w:val="32"/>
        </w:rPr>
        <w:t>“</w:t>
      </w:r>
      <w:r w:rsidRPr="00D74DEF">
        <w:rPr>
          <w:rFonts w:ascii="Times New Roman" w:hAnsi="Times New Roman" w:cs="Microsoft JhengHei"/>
          <w:bCs/>
          <w:sz w:val="24"/>
          <w:szCs w:val="32"/>
        </w:rPr>
        <w:t>本基金</w:t>
      </w:r>
      <w:r w:rsidR="0005723A" w:rsidRPr="00D74DEF">
        <w:rPr>
          <w:rFonts w:ascii="Times New Roman" w:hAnsi="Times New Roman" w:cs="Microsoft JhengHei" w:hint="eastAsia"/>
          <w:bCs/>
          <w:sz w:val="24"/>
          <w:szCs w:val="32"/>
        </w:rPr>
        <w:t>”</w:t>
      </w:r>
      <w:r w:rsidRPr="00D74DEF">
        <w:rPr>
          <w:rFonts w:ascii="Times New Roman" w:hAnsi="Times New Roman" w:cs="Microsoft JhengHei"/>
          <w:bCs/>
          <w:sz w:val="24"/>
          <w:szCs w:val="32"/>
        </w:rPr>
        <w:t>）</w:t>
      </w:r>
      <w:r w:rsidRPr="00D74DEF">
        <w:rPr>
          <w:rFonts w:ascii="Times New Roman" w:hAnsi="Times New Roman" w:cs="Microsoft JhengHei" w:hint="eastAsia"/>
          <w:bCs/>
          <w:sz w:val="24"/>
          <w:szCs w:val="32"/>
        </w:rPr>
        <w:t>于</w:t>
      </w:r>
      <w:r w:rsidRPr="00D74DEF">
        <w:rPr>
          <w:rFonts w:ascii="Times New Roman" w:hAnsi="Times New Roman" w:cs="Microsoft JhengHei" w:hint="eastAsia"/>
          <w:bCs/>
          <w:sz w:val="24"/>
          <w:szCs w:val="32"/>
        </w:rPr>
        <w:t>2012</w:t>
      </w:r>
      <w:r w:rsidRPr="00D74DEF">
        <w:rPr>
          <w:rFonts w:ascii="Times New Roman" w:hAnsi="Times New Roman" w:cs="Microsoft JhengHei" w:hint="eastAsia"/>
          <w:bCs/>
          <w:sz w:val="24"/>
          <w:szCs w:val="32"/>
        </w:rPr>
        <w:t>年</w:t>
      </w:r>
      <w:r w:rsidRPr="00D74DEF">
        <w:rPr>
          <w:rFonts w:ascii="Times New Roman" w:hAnsi="Times New Roman" w:cs="Microsoft JhengHei" w:hint="eastAsia"/>
          <w:bCs/>
          <w:sz w:val="24"/>
          <w:szCs w:val="32"/>
        </w:rPr>
        <w:t>11</w:t>
      </w:r>
      <w:r w:rsidRPr="00D74DEF">
        <w:rPr>
          <w:rFonts w:ascii="Times New Roman" w:hAnsi="Times New Roman" w:cs="Microsoft JhengHei" w:hint="eastAsia"/>
          <w:bCs/>
          <w:sz w:val="24"/>
          <w:szCs w:val="32"/>
        </w:rPr>
        <w:t>月</w:t>
      </w:r>
      <w:r w:rsidRPr="00D74DEF">
        <w:rPr>
          <w:rFonts w:ascii="Times New Roman" w:hAnsi="Times New Roman" w:cs="Microsoft JhengHei" w:hint="eastAsia"/>
          <w:bCs/>
          <w:sz w:val="24"/>
          <w:szCs w:val="32"/>
        </w:rPr>
        <w:t>15</w:t>
      </w:r>
      <w:r w:rsidRPr="00D74DEF">
        <w:rPr>
          <w:rFonts w:ascii="Times New Roman" w:hAnsi="Times New Roman" w:cs="Microsoft JhengHei" w:hint="eastAsia"/>
          <w:bCs/>
          <w:sz w:val="24"/>
          <w:szCs w:val="32"/>
        </w:rPr>
        <w:t>日成立，后经中国证监会《关于准予民生加银平稳增利定期开放债券型证券投资基金变更注册的批复》</w:t>
      </w:r>
      <w:r w:rsidRPr="00D74DEF">
        <w:rPr>
          <w:rFonts w:ascii="Times New Roman" w:hAnsi="Times New Roman" w:cs="Microsoft JhengHei" w:hint="eastAsia"/>
          <w:bCs/>
          <w:sz w:val="24"/>
          <w:szCs w:val="32"/>
        </w:rPr>
        <w:t>(</w:t>
      </w:r>
      <w:r w:rsidRPr="00D74DEF">
        <w:rPr>
          <w:rFonts w:ascii="Times New Roman" w:hAnsi="Times New Roman" w:cs="Microsoft JhengHei" w:hint="eastAsia"/>
          <w:bCs/>
          <w:sz w:val="24"/>
          <w:szCs w:val="32"/>
        </w:rPr>
        <w:t>证监许可【</w:t>
      </w:r>
      <w:r w:rsidRPr="00D74DEF">
        <w:rPr>
          <w:rFonts w:ascii="Times New Roman" w:hAnsi="Times New Roman" w:cs="Microsoft JhengHei" w:hint="eastAsia"/>
          <w:bCs/>
          <w:sz w:val="24"/>
          <w:szCs w:val="32"/>
        </w:rPr>
        <w:t>2016</w:t>
      </w:r>
      <w:r w:rsidRPr="00D74DEF">
        <w:rPr>
          <w:rFonts w:ascii="Times New Roman" w:hAnsi="Times New Roman" w:cs="Microsoft JhengHei" w:hint="eastAsia"/>
          <w:bCs/>
          <w:sz w:val="24"/>
          <w:szCs w:val="32"/>
        </w:rPr>
        <w:t>】</w:t>
      </w:r>
      <w:r w:rsidRPr="00D74DEF">
        <w:rPr>
          <w:rFonts w:ascii="Times New Roman" w:hAnsi="Times New Roman" w:cs="Microsoft JhengHei" w:hint="eastAsia"/>
          <w:bCs/>
          <w:sz w:val="24"/>
          <w:szCs w:val="32"/>
        </w:rPr>
        <w:t>1863)</w:t>
      </w:r>
      <w:r w:rsidRPr="00D74DEF">
        <w:rPr>
          <w:rFonts w:ascii="Times New Roman" w:hAnsi="Times New Roman" w:cs="Microsoft JhengHei" w:hint="eastAsia"/>
          <w:bCs/>
          <w:sz w:val="24"/>
          <w:szCs w:val="32"/>
        </w:rPr>
        <w:t>变更注册并实施转型。基金合同于</w:t>
      </w:r>
      <w:r w:rsidRPr="00D74DEF">
        <w:rPr>
          <w:rFonts w:ascii="Times New Roman" w:hAnsi="Times New Roman" w:cs="Microsoft JhengHei" w:hint="eastAsia"/>
          <w:bCs/>
          <w:sz w:val="24"/>
          <w:szCs w:val="32"/>
        </w:rPr>
        <w:t>2017</w:t>
      </w:r>
      <w:r w:rsidRPr="00D74DEF">
        <w:rPr>
          <w:rFonts w:ascii="Times New Roman" w:hAnsi="Times New Roman" w:cs="Microsoft JhengHei" w:hint="eastAsia"/>
          <w:bCs/>
          <w:sz w:val="24"/>
          <w:szCs w:val="32"/>
        </w:rPr>
        <w:t>年</w:t>
      </w:r>
      <w:r w:rsidRPr="00D74DEF">
        <w:rPr>
          <w:rFonts w:ascii="Times New Roman" w:hAnsi="Times New Roman" w:cs="Microsoft JhengHei" w:hint="eastAsia"/>
          <w:bCs/>
          <w:sz w:val="24"/>
          <w:szCs w:val="32"/>
        </w:rPr>
        <w:t>1</w:t>
      </w:r>
      <w:r w:rsidRPr="00D74DEF">
        <w:rPr>
          <w:rFonts w:ascii="Times New Roman" w:hAnsi="Times New Roman" w:cs="Microsoft JhengHei" w:hint="eastAsia"/>
          <w:bCs/>
          <w:sz w:val="24"/>
          <w:szCs w:val="32"/>
        </w:rPr>
        <w:t>月</w:t>
      </w:r>
      <w:r w:rsidRPr="00D74DEF">
        <w:rPr>
          <w:rFonts w:ascii="Times New Roman" w:hAnsi="Times New Roman" w:cs="Microsoft JhengHei" w:hint="eastAsia"/>
          <w:bCs/>
          <w:sz w:val="24"/>
          <w:szCs w:val="32"/>
        </w:rPr>
        <w:t>11</w:t>
      </w:r>
      <w:r w:rsidRPr="00D74DEF">
        <w:rPr>
          <w:rFonts w:ascii="Times New Roman" w:hAnsi="Times New Roman" w:cs="Microsoft JhengHei" w:hint="eastAsia"/>
          <w:bCs/>
          <w:sz w:val="24"/>
          <w:szCs w:val="32"/>
        </w:rPr>
        <w:t>日生效。</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根据《中华人民共和国证券投资基金法》、《公开募集证券投资基金运作管理办法》、《公开募集证券投资基金信息披露管理办法》、《民生加银平稳增利定期开放债券型证券投资基金基金合同》（以下简称</w:t>
      </w:r>
      <w:r w:rsidRPr="00D74DEF">
        <w:rPr>
          <w:rFonts w:ascii="Times New Roman" w:hAnsi="Times New Roman" w:cs="Times New Roman" w:hint="eastAsia"/>
          <w:sz w:val="24"/>
          <w:szCs w:val="24"/>
        </w:rPr>
        <w:t>“</w:t>
      </w:r>
      <w:r w:rsidRPr="00D74DEF">
        <w:rPr>
          <w:rFonts w:ascii="Times New Roman" w:hAnsi="Times New Roman" w:cs="Times New Roman"/>
          <w:sz w:val="24"/>
          <w:szCs w:val="24"/>
        </w:rPr>
        <w:t>基金合同</w:t>
      </w:r>
      <w:r w:rsidRPr="00D74DEF">
        <w:rPr>
          <w:rFonts w:ascii="Times New Roman" w:hAnsi="Times New Roman" w:cs="Times New Roman" w:hint="eastAsia"/>
          <w:sz w:val="24"/>
          <w:szCs w:val="24"/>
        </w:rPr>
        <w:t>”</w:t>
      </w:r>
      <w:r w:rsidRPr="00D74DEF">
        <w:rPr>
          <w:rFonts w:ascii="Times New Roman" w:hAnsi="Times New Roman" w:cs="Times New Roman"/>
          <w:sz w:val="24"/>
          <w:szCs w:val="24"/>
        </w:rPr>
        <w:t>或</w:t>
      </w:r>
      <w:r w:rsidRPr="00D74DEF">
        <w:rPr>
          <w:rFonts w:ascii="Times New Roman" w:hAnsi="Times New Roman" w:cs="Times New Roman" w:hint="eastAsia"/>
          <w:sz w:val="24"/>
          <w:szCs w:val="24"/>
        </w:rPr>
        <w:t>“</w:t>
      </w:r>
      <w:r w:rsidRPr="00D74DEF">
        <w:rPr>
          <w:rFonts w:ascii="Times New Roman" w:hAnsi="Times New Roman" w:cs="Times New Roman"/>
          <w:sz w:val="24"/>
          <w:szCs w:val="24"/>
        </w:rPr>
        <w:t>《基金合同》</w:t>
      </w:r>
      <w:r w:rsidRPr="00D74DEF">
        <w:rPr>
          <w:rFonts w:ascii="Times New Roman" w:hAnsi="Times New Roman" w:cs="Times New Roman" w:hint="eastAsia"/>
          <w:sz w:val="24"/>
          <w:szCs w:val="24"/>
        </w:rPr>
        <w:t>”</w:t>
      </w:r>
      <w:r w:rsidRPr="00D74DEF">
        <w:rPr>
          <w:rFonts w:ascii="Times New Roman" w:hAnsi="Times New Roman" w:cs="Times New Roman"/>
          <w:sz w:val="24"/>
          <w:szCs w:val="24"/>
        </w:rPr>
        <w:t>）</w:t>
      </w:r>
      <w:r w:rsidRPr="00D74DEF">
        <w:rPr>
          <w:rFonts w:ascii="Times New Roman" w:hAnsi="Times New Roman" w:cs="Times New Roman" w:hint="eastAsia"/>
          <w:sz w:val="24"/>
          <w:szCs w:val="24"/>
        </w:rPr>
        <w:t>等</w:t>
      </w:r>
      <w:r w:rsidRPr="00D74DEF">
        <w:rPr>
          <w:rFonts w:ascii="Times New Roman" w:hAnsi="Times New Roman" w:cs="Times New Roman"/>
          <w:sz w:val="24"/>
          <w:szCs w:val="24"/>
        </w:rPr>
        <w:t>的有关规定</w:t>
      </w:r>
      <w:r w:rsidRPr="00D74DEF">
        <w:rPr>
          <w:rFonts w:ascii="Times New Roman" w:hAnsi="Times New Roman" w:cs="Times New Roman" w:hint="eastAsia"/>
          <w:sz w:val="24"/>
          <w:szCs w:val="24"/>
        </w:rPr>
        <w:t>，经本基金管理人与基金托管人中国建设银行股份有限公司协商一致，本基金以通讯方式召开了基金份额持有人大会，大会投票表决时间为自</w:t>
      </w:r>
      <w:r w:rsidRPr="00D74DEF">
        <w:rPr>
          <w:rFonts w:ascii="Times New Roman" w:hAnsi="Times New Roman" w:cs="Times New Roman" w:hint="eastAsia"/>
          <w:sz w:val="24"/>
          <w:szCs w:val="24"/>
        </w:rPr>
        <w:t>202</w:t>
      </w:r>
      <w:r w:rsidRPr="00D74DEF">
        <w:rPr>
          <w:rFonts w:ascii="Times New Roman" w:hAnsi="Times New Roman" w:cs="Times New Roman"/>
          <w:sz w:val="24"/>
          <w:szCs w:val="24"/>
        </w:rPr>
        <w:t>2</w:t>
      </w:r>
      <w:r w:rsidRPr="00D74DEF">
        <w:rPr>
          <w:rFonts w:ascii="Times New Roman" w:hAnsi="Times New Roman" w:cs="Times New Roman" w:hint="eastAsia"/>
          <w:sz w:val="24"/>
          <w:szCs w:val="24"/>
        </w:rPr>
        <w:t>年</w:t>
      </w:r>
      <w:r w:rsidRPr="00D74DEF">
        <w:rPr>
          <w:rFonts w:ascii="Times New Roman" w:hAnsi="Times New Roman" w:cs="Times New Roman"/>
          <w:sz w:val="24"/>
          <w:szCs w:val="24"/>
        </w:rPr>
        <w:t>5</w:t>
      </w:r>
      <w:r w:rsidRPr="00D74DEF">
        <w:rPr>
          <w:rFonts w:ascii="Times New Roman" w:hAnsi="Times New Roman" w:cs="Times New Roman" w:hint="eastAsia"/>
          <w:sz w:val="24"/>
          <w:szCs w:val="24"/>
        </w:rPr>
        <w:t>月</w:t>
      </w:r>
      <w:r w:rsidRPr="00D74DEF">
        <w:rPr>
          <w:rFonts w:ascii="Times New Roman" w:hAnsi="Times New Roman" w:cs="Times New Roman"/>
          <w:sz w:val="24"/>
          <w:szCs w:val="24"/>
        </w:rPr>
        <w:t>30</w:t>
      </w:r>
      <w:r w:rsidRPr="00D74DEF">
        <w:rPr>
          <w:rFonts w:ascii="Times New Roman" w:hAnsi="Times New Roman" w:cs="Times New Roman" w:hint="eastAsia"/>
          <w:sz w:val="24"/>
          <w:szCs w:val="24"/>
        </w:rPr>
        <w:t>日至</w:t>
      </w:r>
      <w:r w:rsidRPr="00D74DEF">
        <w:rPr>
          <w:rFonts w:ascii="Times New Roman" w:hAnsi="Times New Roman" w:cs="Times New Roman" w:hint="eastAsia"/>
          <w:sz w:val="24"/>
          <w:szCs w:val="24"/>
        </w:rPr>
        <w:t>202</w:t>
      </w:r>
      <w:r w:rsidRPr="00D74DEF">
        <w:rPr>
          <w:rFonts w:ascii="Times New Roman" w:hAnsi="Times New Roman" w:cs="Times New Roman"/>
          <w:sz w:val="24"/>
          <w:szCs w:val="24"/>
        </w:rPr>
        <w:t>2</w:t>
      </w:r>
      <w:r w:rsidRPr="00D74DEF">
        <w:rPr>
          <w:rFonts w:ascii="Times New Roman" w:hAnsi="Times New Roman" w:cs="Times New Roman" w:hint="eastAsia"/>
          <w:sz w:val="24"/>
          <w:szCs w:val="24"/>
        </w:rPr>
        <w:t>年</w:t>
      </w:r>
      <w:r w:rsidRPr="00D74DEF">
        <w:rPr>
          <w:rFonts w:ascii="Times New Roman" w:hAnsi="Times New Roman" w:cs="Times New Roman"/>
          <w:sz w:val="24"/>
          <w:szCs w:val="24"/>
        </w:rPr>
        <w:t>6</w:t>
      </w:r>
      <w:r w:rsidRPr="00D74DEF">
        <w:rPr>
          <w:rFonts w:ascii="Times New Roman" w:hAnsi="Times New Roman" w:cs="Times New Roman" w:hint="eastAsia"/>
          <w:sz w:val="24"/>
          <w:szCs w:val="24"/>
        </w:rPr>
        <w:t>月</w:t>
      </w:r>
      <w:r w:rsidRPr="00D74DEF">
        <w:rPr>
          <w:rFonts w:ascii="Times New Roman" w:hAnsi="Times New Roman" w:cs="Times New Roman"/>
          <w:sz w:val="24"/>
          <w:szCs w:val="24"/>
        </w:rPr>
        <w:t>26</w:t>
      </w:r>
      <w:r w:rsidRPr="00D74DEF">
        <w:rPr>
          <w:rFonts w:ascii="Times New Roman" w:hAnsi="Times New Roman" w:cs="Times New Roman" w:hint="eastAsia"/>
          <w:sz w:val="24"/>
          <w:szCs w:val="24"/>
        </w:rPr>
        <w:t>日</w:t>
      </w:r>
      <w:r w:rsidRPr="00D74DEF">
        <w:rPr>
          <w:rFonts w:ascii="Times New Roman" w:hAnsi="Times New Roman" w:cs="Times New Roman" w:hint="eastAsia"/>
          <w:sz w:val="24"/>
          <w:szCs w:val="24"/>
        </w:rPr>
        <w:t>17:00</w:t>
      </w:r>
      <w:r w:rsidRPr="00D74DEF">
        <w:rPr>
          <w:rFonts w:ascii="Times New Roman" w:hAnsi="Times New Roman" w:cs="Times New Roman" w:hint="eastAsia"/>
          <w:sz w:val="24"/>
          <w:szCs w:val="24"/>
        </w:rPr>
        <w:t>止，并于</w:t>
      </w:r>
      <w:r w:rsidRPr="00D74DEF">
        <w:rPr>
          <w:rFonts w:ascii="Times New Roman" w:hAnsi="Times New Roman" w:cs="Times New Roman" w:hint="eastAsia"/>
          <w:sz w:val="24"/>
          <w:szCs w:val="24"/>
        </w:rPr>
        <w:t>202</w:t>
      </w:r>
      <w:r w:rsidRPr="00D74DEF">
        <w:rPr>
          <w:rFonts w:ascii="Times New Roman" w:hAnsi="Times New Roman" w:cs="Times New Roman"/>
          <w:sz w:val="24"/>
          <w:szCs w:val="24"/>
        </w:rPr>
        <w:t>2</w:t>
      </w:r>
      <w:r w:rsidRPr="00D74DEF">
        <w:rPr>
          <w:rFonts w:ascii="Times New Roman" w:hAnsi="Times New Roman" w:cs="Times New Roman" w:hint="eastAsia"/>
          <w:sz w:val="24"/>
          <w:szCs w:val="24"/>
        </w:rPr>
        <w:t>年</w:t>
      </w:r>
      <w:r w:rsidRPr="00D74DEF">
        <w:rPr>
          <w:rFonts w:ascii="Times New Roman" w:hAnsi="Times New Roman" w:cs="Times New Roman"/>
          <w:sz w:val="24"/>
          <w:szCs w:val="24"/>
        </w:rPr>
        <w:t>6</w:t>
      </w:r>
      <w:r w:rsidRPr="00D74DEF">
        <w:rPr>
          <w:rFonts w:ascii="Times New Roman" w:hAnsi="Times New Roman" w:cs="Times New Roman" w:hint="eastAsia"/>
          <w:sz w:val="24"/>
          <w:szCs w:val="24"/>
        </w:rPr>
        <w:t>月</w:t>
      </w:r>
      <w:r w:rsidRPr="00D74DEF">
        <w:rPr>
          <w:rFonts w:ascii="Times New Roman" w:hAnsi="Times New Roman" w:cs="Times New Roman"/>
          <w:sz w:val="24"/>
          <w:szCs w:val="24"/>
        </w:rPr>
        <w:t>27</w:t>
      </w:r>
      <w:r w:rsidRPr="00D74DEF">
        <w:rPr>
          <w:rFonts w:ascii="Times New Roman" w:hAnsi="Times New Roman" w:cs="Times New Roman" w:hint="eastAsia"/>
          <w:sz w:val="24"/>
          <w:szCs w:val="24"/>
        </w:rPr>
        <w:t>日表决通过了《关于民生加银平稳增利定期开放债券型证券投资基金终止基金合同有关事项的议案》，详见</w:t>
      </w:r>
      <w:r w:rsidRPr="00D74DEF">
        <w:rPr>
          <w:rFonts w:ascii="Times New Roman" w:hAnsi="Times New Roman" w:cs="Times New Roman" w:hint="eastAsia"/>
          <w:sz w:val="24"/>
          <w:szCs w:val="24"/>
        </w:rPr>
        <w:t>202</w:t>
      </w:r>
      <w:r w:rsidRPr="00D74DEF">
        <w:rPr>
          <w:rFonts w:ascii="Times New Roman" w:hAnsi="Times New Roman" w:cs="Times New Roman"/>
          <w:sz w:val="24"/>
          <w:szCs w:val="24"/>
        </w:rPr>
        <w:t>2</w:t>
      </w:r>
      <w:r w:rsidRPr="00D74DEF">
        <w:rPr>
          <w:rFonts w:ascii="Times New Roman" w:hAnsi="Times New Roman" w:cs="Times New Roman" w:hint="eastAsia"/>
          <w:sz w:val="24"/>
          <w:szCs w:val="24"/>
        </w:rPr>
        <w:t>年</w:t>
      </w:r>
      <w:r w:rsidRPr="00D74DEF">
        <w:rPr>
          <w:rFonts w:ascii="Times New Roman" w:hAnsi="Times New Roman" w:cs="Times New Roman"/>
          <w:sz w:val="24"/>
          <w:szCs w:val="24"/>
        </w:rPr>
        <w:t>6</w:t>
      </w:r>
      <w:r w:rsidRPr="00D74DEF">
        <w:rPr>
          <w:rFonts w:ascii="Times New Roman" w:hAnsi="Times New Roman" w:cs="Times New Roman" w:hint="eastAsia"/>
          <w:sz w:val="24"/>
          <w:szCs w:val="24"/>
        </w:rPr>
        <w:t>月</w:t>
      </w:r>
      <w:r w:rsidRPr="00D74DEF">
        <w:rPr>
          <w:rFonts w:ascii="Times New Roman" w:hAnsi="Times New Roman" w:cs="Times New Roman"/>
          <w:sz w:val="24"/>
          <w:szCs w:val="24"/>
        </w:rPr>
        <w:t>28</w:t>
      </w:r>
      <w:r w:rsidRPr="00D74DEF">
        <w:rPr>
          <w:rFonts w:ascii="Times New Roman" w:hAnsi="Times New Roman" w:cs="Times New Roman" w:hint="eastAsia"/>
          <w:sz w:val="24"/>
          <w:szCs w:val="24"/>
        </w:rPr>
        <w:t>日刊登</w:t>
      </w:r>
      <w:r w:rsidRPr="00D74DEF">
        <w:rPr>
          <w:rFonts w:ascii="Times New Roman" w:hAnsi="Times New Roman" w:hint="eastAsia"/>
          <w:bCs/>
          <w:sz w:val="24"/>
          <w:szCs w:val="24"/>
        </w:rPr>
        <w:t>在《上海证券报》及基金管理人官方网站（</w:t>
      </w:r>
      <w:r w:rsidRPr="00D74DEF">
        <w:rPr>
          <w:rFonts w:ascii="Times New Roman" w:hAnsi="Times New Roman" w:hint="eastAsia"/>
          <w:bCs/>
          <w:sz w:val="24"/>
          <w:szCs w:val="24"/>
        </w:rPr>
        <w:t>http://www.msjyfund.com.cn</w:t>
      </w:r>
      <w:r w:rsidRPr="00D74DEF">
        <w:rPr>
          <w:rFonts w:ascii="Times New Roman" w:hAnsi="Times New Roman" w:hint="eastAsia"/>
          <w:bCs/>
          <w:sz w:val="24"/>
          <w:szCs w:val="24"/>
        </w:rPr>
        <w:t>）等规定媒介</w:t>
      </w:r>
      <w:r w:rsidR="00A3761D" w:rsidRPr="00D74DEF">
        <w:rPr>
          <w:rFonts w:ascii="Times New Roman" w:hAnsi="Times New Roman" w:cs="Times New Roman" w:hint="eastAsia"/>
          <w:sz w:val="24"/>
          <w:szCs w:val="24"/>
        </w:rPr>
        <w:t>的《</w:t>
      </w:r>
      <w:r w:rsidRPr="00D74DEF">
        <w:rPr>
          <w:rFonts w:ascii="Times New Roman" w:hAnsi="Times New Roman" w:cs="Microsoft JhengHei"/>
          <w:bCs/>
          <w:sz w:val="24"/>
          <w:szCs w:val="32"/>
        </w:rPr>
        <w:t>民生加银平稳增利定期开放债券型证券投资基金</w:t>
      </w:r>
      <w:r w:rsidRPr="00D74DEF">
        <w:rPr>
          <w:rFonts w:ascii="Times New Roman" w:hAnsi="Times New Roman" w:cs="Times New Roman" w:hint="eastAsia"/>
          <w:sz w:val="24"/>
          <w:szCs w:val="24"/>
        </w:rPr>
        <w:t>基金份额持有人大会表决结果暨决议生效的公告》（以下简称“《决议生效公告》”）。</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本基金</w:t>
      </w:r>
      <w:r w:rsidRPr="00D74DEF">
        <w:rPr>
          <w:rFonts w:ascii="Times New Roman" w:hAnsi="Times New Roman" w:cs="Times New Roman" w:hint="eastAsia"/>
          <w:sz w:val="24"/>
          <w:szCs w:val="24"/>
        </w:rPr>
        <w:t>A</w:t>
      </w:r>
      <w:r w:rsidRPr="00D74DEF">
        <w:rPr>
          <w:rFonts w:ascii="Times New Roman" w:hAnsi="Times New Roman" w:cs="Times New Roman" w:hint="eastAsia"/>
          <w:sz w:val="24"/>
          <w:szCs w:val="24"/>
        </w:rPr>
        <w:t>类基金份额于</w:t>
      </w:r>
      <w:r w:rsidRPr="00D74DEF">
        <w:rPr>
          <w:rFonts w:ascii="Times New Roman" w:hAnsi="Times New Roman" w:cs="Times New Roman"/>
          <w:sz w:val="24"/>
          <w:szCs w:val="24"/>
        </w:rPr>
        <w:t>2013</w:t>
      </w:r>
      <w:r w:rsidRPr="00D74DEF">
        <w:rPr>
          <w:rFonts w:ascii="Times New Roman" w:hAnsi="Times New Roman" w:cs="Times New Roman" w:hint="eastAsia"/>
          <w:sz w:val="24"/>
          <w:szCs w:val="24"/>
        </w:rPr>
        <w:t>年</w:t>
      </w:r>
      <w:r w:rsidRPr="00D74DEF">
        <w:rPr>
          <w:rFonts w:ascii="Times New Roman" w:hAnsi="Times New Roman" w:cs="Times New Roman"/>
          <w:sz w:val="24"/>
          <w:szCs w:val="24"/>
        </w:rPr>
        <w:t>1</w:t>
      </w:r>
      <w:r w:rsidRPr="00D74DEF">
        <w:rPr>
          <w:rFonts w:ascii="Times New Roman" w:hAnsi="Times New Roman" w:cs="Times New Roman" w:hint="eastAsia"/>
          <w:sz w:val="24"/>
          <w:szCs w:val="24"/>
        </w:rPr>
        <w:t>月</w:t>
      </w:r>
      <w:r w:rsidRPr="00D74DEF">
        <w:rPr>
          <w:rFonts w:ascii="Times New Roman" w:hAnsi="Times New Roman" w:cs="Times New Roman"/>
          <w:sz w:val="24"/>
          <w:szCs w:val="24"/>
        </w:rPr>
        <w:t>30</w:t>
      </w:r>
      <w:r w:rsidRPr="00D74DEF">
        <w:rPr>
          <w:rFonts w:ascii="Times New Roman" w:hAnsi="Times New Roman" w:cs="Times New Roman" w:hint="eastAsia"/>
          <w:sz w:val="24"/>
          <w:szCs w:val="24"/>
        </w:rPr>
        <w:t>日在深圳证券交易所上市，场内简称为“民生增利定开”，基金代码为</w:t>
      </w:r>
      <w:r w:rsidRPr="00D74DEF">
        <w:rPr>
          <w:rFonts w:ascii="Times New Roman" w:hAnsi="Times New Roman" w:cs="Times New Roman" w:hint="eastAsia"/>
          <w:sz w:val="24"/>
          <w:szCs w:val="24"/>
        </w:rPr>
        <w:t>166902</w:t>
      </w:r>
      <w:r w:rsidRPr="00D74DEF">
        <w:rPr>
          <w:rFonts w:ascii="Times New Roman" w:hAnsi="Times New Roman" w:cs="Times New Roman" w:hint="eastAsia"/>
          <w:sz w:val="24"/>
          <w:szCs w:val="24"/>
        </w:rPr>
        <w:t>，本基金管理人已向深圳证券交易所申请终止本基金</w:t>
      </w:r>
      <w:r w:rsidR="003B6496" w:rsidRPr="00D74DEF">
        <w:rPr>
          <w:rFonts w:ascii="Times New Roman" w:hAnsi="Times New Roman" w:cs="Times New Roman" w:hint="eastAsia"/>
          <w:sz w:val="24"/>
          <w:szCs w:val="24"/>
        </w:rPr>
        <w:t>A</w:t>
      </w:r>
      <w:r w:rsidR="003B6496" w:rsidRPr="00D74DEF">
        <w:rPr>
          <w:rFonts w:ascii="Times New Roman" w:hAnsi="Times New Roman" w:cs="Times New Roman" w:hint="eastAsia"/>
          <w:sz w:val="24"/>
          <w:szCs w:val="24"/>
        </w:rPr>
        <w:t>类基金份额</w:t>
      </w:r>
      <w:r w:rsidRPr="00D74DEF">
        <w:rPr>
          <w:rFonts w:ascii="Times New Roman" w:hAnsi="Times New Roman" w:cs="Times New Roman" w:hint="eastAsia"/>
          <w:sz w:val="24"/>
          <w:szCs w:val="24"/>
        </w:rPr>
        <w:t>的上市交易，并获得深圳证券交易所</w:t>
      </w: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《终止上市通知书》深证上</w:t>
      </w:r>
      <w:r w:rsidRPr="00D74DEF">
        <w:rPr>
          <w:rFonts w:ascii="Times New Roman" w:hAnsi="Times New Roman" w:cs="Times New Roman" w:hint="eastAsia"/>
          <w:sz w:val="24"/>
          <w:szCs w:val="24"/>
        </w:rPr>
        <w:t>[202</w:t>
      </w:r>
      <w:r w:rsidRPr="00D74DEF">
        <w:rPr>
          <w:rFonts w:ascii="Times New Roman" w:hAnsi="Times New Roman" w:cs="Times New Roman"/>
          <w:sz w:val="24"/>
          <w:szCs w:val="24"/>
        </w:rPr>
        <w:t>2</w:t>
      </w:r>
      <w:r w:rsidRPr="00D74DEF">
        <w:rPr>
          <w:rFonts w:ascii="Times New Roman" w:hAnsi="Times New Roman" w:cs="Times New Roman" w:hint="eastAsia"/>
          <w:sz w:val="24"/>
          <w:szCs w:val="24"/>
        </w:rPr>
        <w:t>]</w:t>
      </w:r>
      <w:r w:rsidR="00C10EA2" w:rsidRPr="00D74DEF">
        <w:rPr>
          <w:rFonts w:ascii="Times New Roman" w:hAnsi="Times New Roman" w:cs="Times New Roman"/>
          <w:sz w:val="24"/>
          <w:szCs w:val="24"/>
        </w:rPr>
        <w:t>611</w:t>
      </w:r>
      <w:r w:rsidRPr="00D74DEF">
        <w:rPr>
          <w:rFonts w:ascii="Times New Roman" w:hAnsi="Times New Roman" w:cs="Times New Roman" w:hint="eastAsia"/>
          <w:sz w:val="24"/>
          <w:szCs w:val="24"/>
        </w:rPr>
        <w:t>号</w:t>
      </w: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同意。现将本基金终止上市相关事项公告如下：</w:t>
      </w:r>
    </w:p>
    <w:p w:rsidR="00AE68F9" w:rsidRPr="00D74DEF" w:rsidRDefault="00AE68F9">
      <w:pPr>
        <w:spacing w:line="360" w:lineRule="auto"/>
        <w:ind w:firstLineChars="201" w:firstLine="482"/>
        <w:rPr>
          <w:rFonts w:ascii="Times New Roman" w:hAnsi="Times New Roman" w:cs="Times New Roman"/>
          <w:sz w:val="24"/>
          <w:szCs w:val="24"/>
        </w:rPr>
      </w:pPr>
    </w:p>
    <w:p w:rsidR="00AE68F9" w:rsidRPr="00D74DEF" w:rsidRDefault="004C6FE9">
      <w:pPr>
        <w:spacing w:line="360" w:lineRule="auto"/>
        <w:ind w:firstLineChars="201" w:firstLine="484"/>
        <w:rPr>
          <w:rFonts w:ascii="Times New Roman" w:hAnsi="Times New Roman" w:cs="Times New Roman"/>
          <w:b/>
          <w:sz w:val="24"/>
          <w:szCs w:val="24"/>
        </w:rPr>
      </w:pPr>
      <w:r w:rsidRPr="00D74DEF">
        <w:rPr>
          <w:rFonts w:ascii="Times New Roman" w:hAnsi="Times New Roman" w:cs="Times New Roman"/>
          <w:b/>
          <w:sz w:val="24"/>
          <w:szCs w:val="24"/>
        </w:rPr>
        <w:t>一、本基金基本信息</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5561"/>
      </w:tblGrid>
      <w:tr w:rsidR="00AE68F9" w:rsidRPr="00D74DEF">
        <w:trPr>
          <w:trHeight w:val="285"/>
          <w:jc w:val="center"/>
        </w:trPr>
        <w:tc>
          <w:tcPr>
            <w:tcW w:w="2637" w:type="dxa"/>
          </w:tcPr>
          <w:p w:rsidR="00AE68F9" w:rsidRPr="00D74DEF" w:rsidRDefault="004C6FE9">
            <w:pPr>
              <w:spacing w:line="360" w:lineRule="auto"/>
              <w:rPr>
                <w:rFonts w:ascii="Times New Roman" w:hAnsi="Times New Roman" w:cs="Times New Roman"/>
                <w:sz w:val="24"/>
                <w:szCs w:val="24"/>
              </w:rPr>
            </w:pPr>
            <w:r w:rsidRPr="00D74DEF">
              <w:rPr>
                <w:rFonts w:ascii="Times New Roman" w:hAnsi="Times New Roman" w:cs="Times New Roman"/>
                <w:sz w:val="24"/>
                <w:szCs w:val="24"/>
              </w:rPr>
              <w:t>基金名称</w:t>
            </w:r>
          </w:p>
        </w:tc>
        <w:tc>
          <w:tcPr>
            <w:tcW w:w="5561" w:type="dxa"/>
            <w:noWrap/>
          </w:tcPr>
          <w:p w:rsidR="00AE68F9" w:rsidRPr="00D74DEF" w:rsidRDefault="004C6FE9">
            <w:pPr>
              <w:spacing w:line="360" w:lineRule="auto"/>
              <w:rPr>
                <w:rFonts w:ascii="Times New Roman" w:hAnsi="Times New Roman" w:cs="Times New Roman"/>
                <w:sz w:val="24"/>
                <w:szCs w:val="24"/>
              </w:rPr>
            </w:pPr>
            <w:r w:rsidRPr="00D74DEF">
              <w:rPr>
                <w:rFonts w:ascii="Times New Roman" w:hAnsi="Times New Roman" w:cs="Times New Roman"/>
                <w:sz w:val="24"/>
                <w:szCs w:val="24"/>
              </w:rPr>
              <w:t>民生加银平稳增利定期开放债券型证券投资基金</w:t>
            </w:r>
          </w:p>
        </w:tc>
      </w:tr>
      <w:tr w:rsidR="00003B91" w:rsidRPr="00D74DEF">
        <w:trPr>
          <w:trHeight w:val="285"/>
          <w:jc w:val="center"/>
        </w:trPr>
        <w:tc>
          <w:tcPr>
            <w:tcW w:w="2637" w:type="dxa"/>
          </w:tcPr>
          <w:p w:rsidR="00003B91" w:rsidRPr="00D74DEF" w:rsidRDefault="00003B91" w:rsidP="00003B91">
            <w:pPr>
              <w:spacing w:line="360" w:lineRule="auto"/>
              <w:rPr>
                <w:rFonts w:ascii="Times New Roman" w:hAnsi="Times New Roman" w:cs="Times New Roman"/>
                <w:sz w:val="24"/>
                <w:szCs w:val="24"/>
              </w:rPr>
            </w:pPr>
            <w:r w:rsidRPr="00D74DEF">
              <w:rPr>
                <w:rFonts w:ascii="Times New Roman" w:hAnsi="Times New Roman" w:cs="Times New Roman" w:hint="eastAsia"/>
                <w:color w:val="000000"/>
                <w:sz w:val="24"/>
                <w:szCs w:val="24"/>
              </w:rPr>
              <w:t>场内简称</w:t>
            </w:r>
          </w:p>
        </w:tc>
        <w:tc>
          <w:tcPr>
            <w:tcW w:w="5561" w:type="dxa"/>
            <w:noWrap/>
          </w:tcPr>
          <w:p w:rsidR="00003B91" w:rsidRPr="00D74DEF" w:rsidRDefault="00003B91" w:rsidP="00003B91">
            <w:pPr>
              <w:spacing w:line="360" w:lineRule="auto"/>
              <w:rPr>
                <w:rFonts w:ascii="Times New Roman" w:hAnsi="Times New Roman" w:cs="Times New Roman"/>
                <w:sz w:val="24"/>
                <w:szCs w:val="24"/>
              </w:rPr>
            </w:pPr>
            <w:r w:rsidRPr="00D74DEF">
              <w:rPr>
                <w:rFonts w:ascii="Times New Roman" w:hAnsi="Times New Roman" w:cs="Times New Roman" w:hint="eastAsia"/>
                <w:color w:val="000000"/>
                <w:sz w:val="24"/>
                <w:szCs w:val="24"/>
              </w:rPr>
              <w:t>民生增利定开</w:t>
            </w:r>
          </w:p>
        </w:tc>
      </w:tr>
      <w:tr w:rsidR="00AE68F9" w:rsidRPr="00D74DEF">
        <w:trPr>
          <w:trHeight w:val="270"/>
          <w:jc w:val="center"/>
        </w:trPr>
        <w:tc>
          <w:tcPr>
            <w:tcW w:w="2637" w:type="dxa"/>
          </w:tcPr>
          <w:p w:rsidR="00AE68F9" w:rsidRPr="00D74DEF" w:rsidRDefault="00003B91" w:rsidP="00003B91">
            <w:pPr>
              <w:spacing w:line="360" w:lineRule="auto"/>
              <w:rPr>
                <w:rFonts w:ascii="Times New Roman" w:hAnsi="Times New Roman" w:cs="Times New Roman"/>
                <w:sz w:val="24"/>
                <w:szCs w:val="24"/>
              </w:rPr>
            </w:pPr>
            <w:r w:rsidRPr="00D74DEF">
              <w:rPr>
                <w:rFonts w:ascii="Times New Roman" w:hAnsi="Times New Roman" w:cs="Times New Roman" w:hint="eastAsia"/>
                <w:sz w:val="24"/>
                <w:szCs w:val="24"/>
              </w:rPr>
              <w:t>交易</w:t>
            </w:r>
            <w:r w:rsidR="004C6FE9" w:rsidRPr="00D74DEF">
              <w:rPr>
                <w:rFonts w:ascii="Times New Roman" w:hAnsi="Times New Roman" w:cs="Times New Roman"/>
                <w:sz w:val="24"/>
                <w:szCs w:val="24"/>
              </w:rPr>
              <w:t>代码</w:t>
            </w:r>
          </w:p>
        </w:tc>
        <w:tc>
          <w:tcPr>
            <w:tcW w:w="5561" w:type="dxa"/>
            <w:noWrap/>
          </w:tcPr>
          <w:p w:rsidR="00AE68F9" w:rsidRPr="00D74DEF" w:rsidRDefault="004C6FE9">
            <w:pPr>
              <w:spacing w:line="360" w:lineRule="auto"/>
              <w:rPr>
                <w:rFonts w:ascii="Times New Roman" w:hAnsi="Times New Roman" w:cs="Times New Roman"/>
                <w:sz w:val="24"/>
                <w:szCs w:val="24"/>
              </w:rPr>
            </w:pPr>
            <w:r w:rsidRPr="00D74DEF">
              <w:rPr>
                <w:rFonts w:ascii="Times New Roman" w:hAnsi="Times New Roman" w:cs="Times New Roman"/>
                <w:sz w:val="24"/>
                <w:szCs w:val="24"/>
              </w:rPr>
              <w:t>166902</w:t>
            </w:r>
          </w:p>
        </w:tc>
      </w:tr>
      <w:tr w:rsidR="00AE68F9" w:rsidRPr="00D74DEF">
        <w:trPr>
          <w:trHeight w:val="285"/>
          <w:jc w:val="center"/>
        </w:trPr>
        <w:tc>
          <w:tcPr>
            <w:tcW w:w="2637" w:type="dxa"/>
          </w:tcPr>
          <w:p w:rsidR="00AE68F9" w:rsidRPr="00D74DEF" w:rsidRDefault="004C6FE9">
            <w:pPr>
              <w:spacing w:line="360" w:lineRule="auto"/>
              <w:rPr>
                <w:rFonts w:ascii="Times New Roman" w:hAnsi="Times New Roman" w:cs="Times New Roman"/>
                <w:sz w:val="24"/>
                <w:szCs w:val="24"/>
              </w:rPr>
            </w:pPr>
            <w:r w:rsidRPr="00D74DEF">
              <w:rPr>
                <w:rFonts w:ascii="Times New Roman" w:hAnsi="Times New Roman" w:cs="Times New Roman"/>
                <w:sz w:val="24"/>
                <w:szCs w:val="24"/>
              </w:rPr>
              <w:t>运作方式</w:t>
            </w:r>
          </w:p>
        </w:tc>
        <w:tc>
          <w:tcPr>
            <w:tcW w:w="5561" w:type="dxa"/>
            <w:noWrap/>
          </w:tcPr>
          <w:p w:rsidR="00AE68F9" w:rsidRPr="00D74DEF" w:rsidRDefault="00003B91" w:rsidP="00003B91">
            <w:pPr>
              <w:spacing w:line="360" w:lineRule="auto"/>
              <w:rPr>
                <w:rFonts w:ascii="Times New Roman" w:hAnsi="Times New Roman" w:cs="Times New Roman"/>
                <w:sz w:val="24"/>
                <w:szCs w:val="24"/>
              </w:rPr>
            </w:pPr>
            <w:r w:rsidRPr="00D74DEF">
              <w:rPr>
                <w:rFonts w:ascii="Times New Roman" w:hAnsi="Times New Roman" w:cs="Times New Roman" w:hint="eastAsia"/>
                <w:color w:val="000000"/>
                <w:sz w:val="24"/>
                <w:szCs w:val="24"/>
              </w:rPr>
              <w:t>契约型开放式、定期开放式</w:t>
            </w:r>
          </w:p>
        </w:tc>
      </w:tr>
      <w:tr w:rsidR="00AE68F9" w:rsidRPr="00D74DEF">
        <w:trPr>
          <w:trHeight w:val="508"/>
          <w:jc w:val="center"/>
        </w:trPr>
        <w:tc>
          <w:tcPr>
            <w:tcW w:w="2637" w:type="dxa"/>
          </w:tcPr>
          <w:p w:rsidR="00AE68F9" w:rsidRPr="00D74DEF" w:rsidRDefault="004C6FE9">
            <w:pPr>
              <w:rPr>
                <w:rFonts w:ascii="Times New Roman" w:hAnsi="Times New Roman" w:cs="Times New Roman"/>
                <w:sz w:val="24"/>
                <w:szCs w:val="24"/>
              </w:rPr>
            </w:pPr>
            <w:r w:rsidRPr="00D74DEF">
              <w:rPr>
                <w:rFonts w:ascii="Times New Roman" w:hAnsi="Times New Roman" w:cs="Times New Roman" w:hint="eastAsia"/>
                <w:sz w:val="24"/>
                <w:szCs w:val="24"/>
              </w:rPr>
              <w:lastRenderedPageBreak/>
              <w:t>终止上市日</w:t>
            </w:r>
          </w:p>
        </w:tc>
        <w:tc>
          <w:tcPr>
            <w:tcW w:w="5561" w:type="dxa"/>
            <w:noWrap/>
            <w:vAlign w:val="center"/>
          </w:tcPr>
          <w:p w:rsidR="00AE68F9" w:rsidRPr="00D74DEF" w:rsidRDefault="004C6FE9">
            <w:pPr>
              <w:jc w:val="left"/>
              <w:rPr>
                <w:rFonts w:ascii="Times New Roman" w:hAnsi="Times New Roman" w:cs="Times New Roman"/>
                <w:sz w:val="24"/>
                <w:szCs w:val="24"/>
              </w:rPr>
            </w:pPr>
            <w:r w:rsidRPr="00D74DEF">
              <w:rPr>
                <w:rFonts w:ascii="Times New Roman" w:hAnsi="Times New Roman" w:cs="Times New Roman" w:hint="eastAsia"/>
                <w:sz w:val="24"/>
                <w:szCs w:val="24"/>
              </w:rPr>
              <w:t>2022</w:t>
            </w:r>
            <w:r w:rsidRPr="00D74DEF">
              <w:rPr>
                <w:rFonts w:ascii="Times New Roman" w:hAnsi="Times New Roman" w:cs="Times New Roman" w:hint="eastAsia"/>
                <w:sz w:val="24"/>
                <w:szCs w:val="24"/>
              </w:rPr>
              <w:t>年</w:t>
            </w:r>
            <w:r w:rsidRPr="00D74DEF">
              <w:rPr>
                <w:rFonts w:ascii="Times New Roman" w:hAnsi="Times New Roman" w:cs="Times New Roman" w:hint="eastAsia"/>
                <w:sz w:val="24"/>
                <w:szCs w:val="24"/>
              </w:rPr>
              <w:t>7</w:t>
            </w:r>
            <w:r w:rsidRPr="00D74DEF">
              <w:rPr>
                <w:rFonts w:ascii="Times New Roman" w:hAnsi="Times New Roman" w:cs="Times New Roman" w:hint="eastAsia"/>
                <w:sz w:val="24"/>
                <w:szCs w:val="24"/>
              </w:rPr>
              <w:t>月</w:t>
            </w:r>
            <w:r w:rsidRPr="00D74DEF">
              <w:rPr>
                <w:rFonts w:ascii="Times New Roman" w:hAnsi="Times New Roman" w:cs="Times New Roman" w:hint="eastAsia"/>
                <w:sz w:val="24"/>
                <w:szCs w:val="24"/>
              </w:rPr>
              <w:t>5</w:t>
            </w:r>
            <w:r w:rsidRPr="00D74DEF">
              <w:rPr>
                <w:rFonts w:ascii="Times New Roman" w:hAnsi="Times New Roman" w:cs="Times New Roman" w:hint="eastAsia"/>
                <w:sz w:val="24"/>
                <w:szCs w:val="24"/>
              </w:rPr>
              <w:t>日</w:t>
            </w:r>
          </w:p>
        </w:tc>
      </w:tr>
      <w:tr w:rsidR="00003B91" w:rsidRPr="00D74DEF">
        <w:trPr>
          <w:trHeight w:val="508"/>
          <w:jc w:val="center"/>
        </w:trPr>
        <w:tc>
          <w:tcPr>
            <w:tcW w:w="2637" w:type="dxa"/>
          </w:tcPr>
          <w:p w:rsidR="00003B91" w:rsidRPr="00D74DEF" w:rsidRDefault="00003B91">
            <w:pPr>
              <w:rPr>
                <w:rFonts w:ascii="Times New Roman" w:hAnsi="Times New Roman" w:cs="Times New Roman"/>
                <w:sz w:val="24"/>
                <w:szCs w:val="24"/>
              </w:rPr>
            </w:pPr>
            <w:r w:rsidRPr="00D74DEF">
              <w:rPr>
                <w:rFonts w:ascii="Times New Roman" w:hAnsi="Times New Roman" w:cs="Times New Roman" w:hint="eastAsia"/>
                <w:color w:val="000000"/>
                <w:sz w:val="24"/>
                <w:szCs w:val="24"/>
              </w:rPr>
              <w:t>终止申购、赎回日</w:t>
            </w:r>
          </w:p>
        </w:tc>
        <w:tc>
          <w:tcPr>
            <w:tcW w:w="5561" w:type="dxa"/>
            <w:noWrap/>
            <w:vAlign w:val="center"/>
          </w:tcPr>
          <w:p w:rsidR="00003B91" w:rsidRPr="00D74DEF" w:rsidRDefault="00003B91">
            <w:pPr>
              <w:jc w:val="left"/>
              <w:rPr>
                <w:rFonts w:ascii="Times New Roman" w:hAnsi="Times New Roman" w:cs="Times New Roman"/>
                <w:sz w:val="24"/>
                <w:szCs w:val="24"/>
              </w:rPr>
            </w:pPr>
            <w:r w:rsidRPr="00D74DEF">
              <w:rPr>
                <w:rFonts w:ascii="Times New Roman" w:hAnsi="Times New Roman" w:cs="Times New Roman" w:hint="eastAsia"/>
                <w:color w:val="000000"/>
                <w:sz w:val="24"/>
                <w:szCs w:val="24"/>
              </w:rPr>
              <w:t>2022</w:t>
            </w:r>
            <w:r w:rsidRPr="00D74DEF">
              <w:rPr>
                <w:rFonts w:ascii="Times New Roman" w:hAnsi="Times New Roman" w:cs="Times New Roman" w:hint="eastAsia"/>
                <w:color w:val="000000"/>
                <w:sz w:val="24"/>
                <w:szCs w:val="24"/>
              </w:rPr>
              <w:t>年</w:t>
            </w:r>
            <w:r w:rsidRPr="00D74DEF">
              <w:rPr>
                <w:rFonts w:ascii="Times New Roman" w:hAnsi="Times New Roman" w:cs="Times New Roman" w:hint="eastAsia"/>
                <w:color w:val="000000"/>
                <w:sz w:val="24"/>
                <w:szCs w:val="24"/>
              </w:rPr>
              <w:t>7</w:t>
            </w:r>
            <w:r w:rsidRPr="00D74DEF">
              <w:rPr>
                <w:rFonts w:ascii="Times New Roman" w:hAnsi="Times New Roman" w:cs="Times New Roman" w:hint="eastAsia"/>
                <w:color w:val="000000"/>
                <w:sz w:val="24"/>
                <w:szCs w:val="24"/>
              </w:rPr>
              <w:t>月</w:t>
            </w:r>
            <w:r w:rsidRPr="00D74DEF">
              <w:rPr>
                <w:rFonts w:ascii="Times New Roman" w:hAnsi="Times New Roman" w:cs="Times New Roman" w:hint="eastAsia"/>
                <w:color w:val="000000"/>
                <w:sz w:val="24"/>
                <w:szCs w:val="24"/>
              </w:rPr>
              <w:t>5</w:t>
            </w:r>
            <w:r w:rsidRPr="00D74DEF">
              <w:rPr>
                <w:rFonts w:ascii="Times New Roman" w:hAnsi="Times New Roman" w:cs="Times New Roman" w:hint="eastAsia"/>
                <w:color w:val="000000"/>
                <w:sz w:val="24"/>
                <w:szCs w:val="24"/>
              </w:rPr>
              <w:t>日</w:t>
            </w:r>
          </w:p>
        </w:tc>
      </w:tr>
      <w:tr w:rsidR="00AE68F9" w:rsidRPr="00D74DEF">
        <w:trPr>
          <w:trHeight w:val="285"/>
          <w:jc w:val="center"/>
        </w:trPr>
        <w:tc>
          <w:tcPr>
            <w:tcW w:w="2637" w:type="dxa"/>
          </w:tcPr>
          <w:p w:rsidR="00AE68F9" w:rsidRPr="00D74DEF" w:rsidRDefault="004C6FE9" w:rsidP="007F557A">
            <w:pPr>
              <w:spacing w:line="360" w:lineRule="auto"/>
              <w:rPr>
                <w:rFonts w:ascii="Times New Roman" w:hAnsi="Times New Roman" w:cs="Times New Roman"/>
                <w:sz w:val="24"/>
                <w:szCs w:val="24"/>
              </w:rPr>
            </w:pPr>
            <w:r w:rsidRPr="00D74DEF">
              <w:rPr>
                <w:rFonts w:ascii="Times New Roman" w:hAnsi="Times New Roman" w:cs="Times New Roman" w:hint="eastAsia"/>
                <w:sz w:val="24"/>
                <w:szCs w:val="24"/>
              </w:rPr>
              <w:t>终止上市的权益登记日</w:t>
            </w:r>
          </w:p>
        </w:tc>
        <w:tc>
          <w:tcPr>
            <w:tcW w:w="5561" w:type="dxa"/>
            <w:noWrap/>
            <w:vAlign w:val="center"/>
          </w:tcPr>
          <w:p w:rsidR="00AE68F9" w:rsidRPr="00D74DEF" w:rsidRDefault="004C6FE9" w:rsidP="007F557A">
            <w:pPr>
              <w:spacing w:line="360" w:lineRule="auto"/>
              <w:jc w:val="left"/>
              <w:rPr>
                <w:rFonts w:ascii="Times New Roman" w:hAnsi="Times New Roman" w:cs="Times New Roman"/>
                <w:sz w:val="24"/>
                <w:szCs w:val="24"/>
              </w:rPr>
            </w:pPr>
            <w:r w:rsidRPr="00D74DEF">
              <w:rPr>
                <w:rFonts w:ascii="Times New Roman" w:hAnsi="Times New Roman" w:cs="Times New Roman" w:hint="eastAsia"/>
                <w:sz w:val="24"/>
                <w:szCs w:val="24"/>
              </w:rPr>
              <w:t>2022</w:t>
            </w:r>
            <w:r w:rsidRPr="00D74DEF">
              <w:rPr>
                <w:rFonts w:ascii="Times New Roman" w:hAnsi="Times New Roman" w:cs="Times New Roman" w:hint="eastAsia"/>
                <w:sz w:val="24"/>
                <w:szCs w:val="24"/>
              </w:rPr>
              <w:t>年</w:t>
            </w:r>
            <w:r w:rsidRPr="00D74DEF">
              <w:rPr>
                <w:rFonts w:ascii="Times New Roman" w:hAnsi="Times New Roman" w:cs="Times New Roman" w:hint="eastAsia"/>
                <w:sz w:val="24"/>
                <w:szCs w:val="24"/>
              </w:rPr>
              <w:t>7</w:t>
            </w:r>
            <w:r w:rsidRPr="00D74DEF">
              <w:rPr>
                <w:rFonts w:ascii="Times New Roman" w:hAnsi="Times New Roman" w:cs="Times New Roman" w:hint="eastAsia"/>
                <w:sz w:val="24"/>
                <w:szCs w:val="24"/>
              </w:rPr>
              <w:t>月</w:t>
            </w:r>
            <w:r w:rsidRPr="00D74DEF">
              <w:rPr>
                <w:rFonts w:ascii="Times New Roman" w:hAnsi="Times New Roman" w:cs="Times New Roman" w:hint="eastAsia"/>
                <w:sz w:val="24"/>
                <w:szCs w:val="24"/>
              </w:rPr>
              <w:t>4</w:t>
            </w:r>
            <w:r w:rsidRPr="00D74DEF">
              <w:rPr>
                <w:rFonts w:ascii="Times New Roman" w:hAnsi="Times New Roman" w:cs="Times New Roman" w:hint="eastAsia"/>
                <w:sz w:val="24"/>
                <w:szCs w:val="24"/>
              </w:rPr>
              <w:t>日，即在</w:t>
            </w:r>
            <w:r w:rsidRPr="00D74DEF">
              <w:rPr>
                <w:rFonts w:ascii="Times New Roman" w:hAnsi="Times New Roman" w:cs="Times New Roman" w:hint="eastAsia"/>
                <w:sz w:val="24"/>
                <w:szCs w:val="24"/>
              </w:rPr>
              <w:t>2022</w:t>
            </w:r>
            <w:r w:rsidRPr="00D74DEF">
              <w:rPr>
                <w:rFonts w:ascii="Times New Roman" w:hAnsi="Times New Roman" w:cs="Times New Roman" w:hint="eastAsia"/>
                <w:sz w:val="24"/>
                <w:szCs w:val="24"/>
              </w:rPr>
              <w:t>年</w:t>
            </w:r>
            <w:r w:rsidRPr="00D74DEF">
              <w:rPr>
                <w:rFonts w:ascii="Times New Roman" w:hAnsi="Times New Roman" w:cs="Times New Roman" w:hint="eastAsia"/>
                <w:sz w:val="24"/>
                <w:szCs w:val="24"/>
              </w:rPr>
              <w:t>7</w:t>
            </w:r>
            <w:r w:rsidRPr="00D74DEF">
              <w:rPr>
                <w:rFonts w:ascii="Times New Roman" w:hAnsi="Times New Roman" w:cs="Times New Roman" w:hint="eastAsia"/>
                <w:sz w:val="24"/>
                <w:szCs w:val="24"/>
              </w:rPr>
              <w:t>月</w:t>
            </w:r>
            <w:r w:rsidRPr="00D74DEF">
              <w:rPr>
                <w:rFonts w:ascii="Times New Roman" w:hAnsi="Times New Roman" w:cs="Times New Roman" w:hint="eastAsia"/>
                <w:sz w:val="24"/>
                <w:szCs w:val="24"/>
              </w:rPr>
              <w:t>4</w:t>
            </w:r>
            <w:r w:rsidRPr="00D74DEF">
              <w:rPr>
                <w:rFonts w:ascii="Times New Roman" w:hAnsi="Times New Roman" w:cs="Times New Roman" w:hint="eastAsia"/>
                <w:sz w:val="24"/>
                <w:szCs w:val="24"/>
              </w:rPr>
              <w:t>日下午深圳证券交易所交易结束后，在中国证券登记结算有限责任公司登记在册的本基金全体基金份额持有人享有本基金终止上市后的相关权利。</w:t>
            </w:r>
          </w:p>
        </w:tc>
      </w:tr>
    </w:tbl>
    <w:p w:rsidR="00AE68F9" w:rsidRPr="00D74DEF" w:rsidRDefault="00AE68F9">
      <w:pPr>
        <w:spacing w:line="360" w:lineRule="auto"/>
        <w:ind w:firstLineChars="201" w:firstLine="482"/>
        <w:rPr>
          <w:rFonts w:ascii="Times New Roman" w:hAnsi="Times New Roman" w:cs="Times New Roman"/>
          <w:sz w:val="24"/>
          <w:szCs w:val="24"/>
        </w:rPr>
      </w:pPr>
    </w:p>
    <w:p w:rsidR="00AE68F9" w:rsidRPr="00D74DEF" w:rsidRDefault="004C6FE9">
      <w:pPr>
        <w:spacing w:line="360" w:lineRule="auto"/>
        <w:ind w:firstLineChars="201" w:firstLine="484"/>
        <w:rPr>
          <w:rFonts w:ascii="Times New Roman" w:hAnsi="Times New Roman" w:cs="Times New Roman"/>
          <w:b/>
          <w:sz w:val="24"/>
          <w:szCs w:val="24"/>
        </w:rPr>
      </w:pPr>
      <w:r w:rsidRPr="00D74DEF">
        <w:rPr>
          <w:rFonts w:ascii="Times New Roman" w:hAnsi="Times New Roman" w:cs="Times New Roman"/>
          <w:b/>
          <w:sz w:val="24"/>
          <w:szCs w:val="24"/>
        </w:rPr>
        <w:t>二、</w:t>
      </w:r>
      <w:r w:rsidRPr="00D74DEF">
        <w:rPr>
          <w:rFonts w:ascii="Times New Roman" w:hAnsi="Times New Roman" w:cs="Times New Roman" w:hint="eastAsia"/>
          <w:b/>
          <w:sz w:val="24"/>
          <w:szCs w:val="24"/>
        </w:rPr>
        <w:t>终止上市后续事项</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（一）</w:t>
      </w:r>
      <w:r w:rsidR="00014BC6" w:rsidRPr="00D74DEF">
        <w:rPr>
          <w:rFonts w:ascii="Times New Roman" w:hAnsi="Times New Roman" w:cs="Times New Roman" w:hint="eastAsia"/>
          <w:sz w:val="24"/>
          <w:szCs w:val="24"/>
        </w:rPr>
        <w:t>本基金已自</w:t>
      </w:r>
      <w:r w:rsidR="00014BC6" w:rsidRPr="00D74DEF">
        <w:rPr>
          <w:rFonts w:ascii="Times New Roman" w:hAnsi="Times New Roman" w:cs="Times New Roman" w:hint="eastAsia"/>
          <w:sz w:val="24"/>
          <w:szCs w:val="24"/>
        </w:rPr>
        <w:t>2022</w:t>
      </w:r>
      <w:r w:rsidR="00014BC6" w:rsidRPr="00D74DEF">
        <w:rPr>
          <w:rFonts w:ascii="Times New Roman" w:hAnsi="Times New Roman" w:cs="Times New Roman" w:hint="eastAsia"/>
          <w:sz w:val="24"/>
          <w:szCs w:val="24"/>
        </w:rPr>
        <w:t>年</w:t>
      </w:r>
      <w:r w:rsidR="00014BC6" w:rsidRPr="00D74DEF">
        <w:rPr>
          <w:rFonts w:ascii="Times New Roman" w:hAnsi="Times New Roman" w:cs="Times New Roman" w:hint="eastAsia"/>
          <w:sz w:val="24"/>
          <w:szCs w:val="24"/>
        </w:rPr>
        <w:t>5</w:t>
      </w:r>
      <w:r w:rsidR="00014BC6" w:rsidRPr="00D74DEF">
        <w:rPr>
          <w:rFonts w:ascii="Times New Roman" w:hAnsi="Times New Roman" w:cs="Times New Roman" w:hint="eastAsia"/>
          <w:sz w:val="24"/>
          <w:szCs w:val="24"/>
        </w:rPr>
        <w:t>月</w:t>
      </w:r>
      <w:r w:rsidR="00014BC6" w:rsidRPr="00D74DEF">
        <w:rPr>
          <w:rFonts w:ascii="Times New Roman" w:hAnsi="Times New Roman" w:cs="Times New Roman" w:hint="eastAsia"/>
          <w:sz w:val="24"/>
          <w:szCs w:val="24"/>
        </w:rPr>
        <w:t>21</w:t>
      </w:r>
      <w:r w:rsidR="00014BC6" w:rsidRPr="00D74DEF">
        <w:rPr>
          <w:rFonts w:ascii="Times New Roman" w:hAnsi="Times New Roman" w:cs="Times New Roman" w:hint="eastAsia"/>
          <w:sz w:val="24"/>
          <w:szCs w:val="24"/>
        </w:rPr>
        <w:t>日起进入本基金的第八个封闭期，封闭期内本基金不办理申购、赎回业务。</w:t>
      </w:r>
      <w:r w:rsidR="00BD58EB" w:rsidRPr="00D74DEF">
        <w:rPr>
          <w:rFonts w:ascii="Times New Roman" w:hAnsi="Times New Roman" w:hint="eastAsia"/>
          <w:sz w:val="24"/>
          <w:szCs w:val="24"/>
        </w:rPr>
        <w:t>本基金</w:t>
      </w:r>
      <w:r w:rsidR="00BD58EB" w:rsidRPr="00D74DEF">
        <w:rPr>
          <w:rFonts w:ascii="Times New Roman" w:hAnsi="Times New Roman" w:hint="eastAsia"/>
          <w:sz w:val="24"/>
          <w:szCs w:val="24"/>
        </w:rPr>
        <w:t>A</w:t>
      </w:r>
      <w:r w:rsidR="00BD58EB" w:rsidRPr="00D74DEF">
        <w:rPr>
          <w:rFonts w:ascii="Times New Roman" w:hAnsi="Times New Roman" w:hint="eastAsia"/>
          <w:sz w:val="24"/>
          <w:szCs w:val="24"/>
        </w:rPr>
        <w:t>类基金份额已于</w:t>
      </w:r>
      <w:r w:rsidR="00BD58EB" w:rsidRPr="00D74DEF">
        <w:rPr>
          <w:rFonts w:ascii="Times New Roman" w:hAnsi="Times New Roman" w:hint="eastAsia"/>
          <w:sz w:val="24"/>
          <w:szCs w:val="24"/>
        </w:rPr>
        <w:t>202</w:t>
      </w:r>
      <w:r w:rsidR="00BD58EB" w:rsidRPr="00D74DEF">
        <w:rPr>
          <w:rFonts w:ascii="Times New Roman" w:hAnsi="Times New Roman"/>
          <w:sz w:val="24"/>
          <w:szCs w:val="24"/>
        </w:rPr>
        <w:t>2</w:t>
      </w:r>
      <w:r w:rsidR="00BD58EB" w:rsidRPr="00D74DEF">
        <w:rPr>
          <w:rFonts w:ascii="Times New Roman" w:hAnsi="Times New Roman" w:hint="eastAsia"/>
          <w:sz w:val="24"/>
          <w:szCs w:val="24"/>
        </w:rPr>
        <w:t>年</w:t>
      </w:r>
      <w:r w:rsidR="00BD58EB" w:rsidRPr="00D74DEF">
        <w:rPr>
          <w:rFonts w:ascii="Times New Roman" w:hAnsi="Times New Roman"/>
          <w:sz w:val="24"/>
          <w:szCs w:val="24"/>
        </w:rPr>
        <w:t>6</w:t>
      </w:r>
      <w:r w:rsidR="00BD58EB" w:rsidRPr="00D74DEF">
        <w:rPr>
          <w:rFonts w:ascii="Times New Roman" w:hAnsi="Times New Roman" w:hint="eastAsia"/>
          <w:sz w:val="24"/>
          <w:szCs w:val="24"/>
        </w:rPr>
        <w:t>月</w:t>
      </w:r>
      <w:r w:rsidR="00BD58EB" w:rsidRPr="00D74DEF">
        <w:rPr>
          <w:rFonts w:ascii="Times New Roman" w:hAnsi="Times New Roman"/>
          <w:sz w:val="24"/>
          <w:szCs w:val="24"/>
        </w:rPr>
        <w:t>27</w:t>
      </w:r>
      <w:r w:rsidR="00BD58EB" w:rsidRPr="00D74DEF">
        <w:rPr>
          <w:rFonts w:ascii="Times New Roman" w:hAnsi="Times New Roman" w:hint="eastAsia"/>
          <w:sz w:val="24"/>
          <w:szCs w:val="24"/>
        </w:rPr>
        <w:t>日开市起停牌，不再复牌直至终止上市，自</w:t>
      </w:r>
      <w:r w:rsidR="00BD58EB" w:rsidRPr="00D74DEF">
        <w:rPr>
          <w:rFonts w:ascii="Times New Roman" w:hAnsi="Times New Roman" w:hint="eastAsia"/>
          <w:sz w:val="24"/>
          <w:szCs w:val="24"/>
        </w:rPr>
        <w:t>202</w:t>
      </w:r>
      <w:r w:rsidR="00BD58EB" w:rsidRPr="00D74DEF">
        <w:rPr>
          <w:rFonts w:ascii="Times New Roman" w:hAnsi="Times New Roman"/>
          <w:sz w:val="24"/>
          <w:szCs w:val="24"/>
        </w:rPr>
        <w:t>2</w:t>
      </w:r>
      <w:r w:rsidR="00BD58EB" w:rsidRPr="00D74DEF">
        <w:rPr>
          <w:rFonts w:ascii="Times New Roman" w:hAnsi="Times New Roman" w:hint="eastAsia"/>
          <w:sz w:val="24"/>
          <w:szCs w:val="24"/>
        </w:rPr>
        <w:t>年</w:t>
      </w:r>
      <w:r w:rsidR="00BD58EB" w:rsidRPr="00D74DEF">
        <w:rPr>
          <w:rFonts w:ascii="Times New Roman" w:hAnsi="Times New Roman"/>
          <w:sz w:val="24"/>
          <w:szCs w:val="24"/>
        </w:rPr>
        <w:t>6</w:t>
      </w:r>
      <w:r w:rsidR="00BD58EB" w:rsidRPr="00D74DEF">
        <w:rPr>
          <w:rFonts w:ascii="Times New Roman" w:hAnsi="Times New Roman" w:hint="eastAsia"/>
          <w:sz w:val="24"/>
          <w:szCs w:val="24"/>
        </w:rPr>
        <w:t>月</w:t>
      </w:r>
      <w:r w:rsidR="00BD58EB" w:rsidRPr="00D74DEF">
        <w:rPr>
          <w:rFonts w:ascii="Times New Roman" w:hAnsi="Times New Roman"/>
          <w:sz w:val="24"/>
          <w:szCs w:val="24"/>
        </w:rPr>
        <w:t>27</w:t>
      </w:r>
      <w:r w:rsidR="00BD58EB" w:rsidRPr="00D74DEF">
        <w:rPr>
          <w:rFonts w:ascii="Times New Roman" w:hAnsi="Times New Roman" w:hint="eastAsia"/>
          <w:sz w:val="24"/>
          <w:szCs w:val="24"/>
        </w:rPr>
        <w:t>日起不再接受转托管业务。</w:t>
      </w:r>
      <w:r w:rsidR="00BD58EB" w:rsidRPr="00D74DEF">
        <w:rPr>
          <w:rFonts w:ascii="Times New Roman" w:hAnsi="Times New Roman" w:cs="Times New Roman" w:hint="eastAsia"/>
          <w:sz w:val="24"/>
          <w:szCs w:val="24"/>
        </w:rPr>
        <w:t>本基金自</w:t>
      </w:r>
      <w:r w:rsidR="00BD58EB" w:rsidRPr="00D74DEF">
        <w:rPr>
          <w:rFonts w:ascii="Times New Roman" w:hAnsi="Times New Roman" w:cs="Times New Roman" w:hint="eastAsia"/>
          <w:sz w:val="24"/>
          <w:szCs w:val="24"/>
        </w:rPr>
        <w:t>202</w:t>
      </w:r>
      <w:r w:rsidR="00BD58EB" w:rsidRPr="00D74DEF">
        <w:rPr>
          <w:rFonts w:ascii="Times New Roman" w:hAnsi="Times New Roman" w:cs="Times New Roman"/>
          <w:sz w:val="24"/>
          <w:szCs w:val="24"/>
        </w:rPr>
        <w:t>2</w:t>
      </w:r>
      <w:r w:rsidR="00BD58EB" w:rsidRPr="00D74DEF">
        <w:rPr>
          <w:rFonts w:ascii="Times New Roman" w:hAnsi="Times New Roman" w:cs="Times New Roman" w:hint="eastAsia"/>
          <w:sz w:val="24"/>
          <w:szCs w:val="24"/>
        </w:rPr>
        <w:t>年</w:t>
      </w:r>
      <w:r w:rsidR="00BD58EB" w:rsidRPr="00D74DEF">
        <w:rPr>
          <w:rFonts w:ascii="Times New Roman" w:hAnsi="Times New Roman" w:cs="Times New Roman"/>
          <w:sz w:val="24"/>
          <w:szCs w:val="24"/>
        </w:rPr>
        <w:t>6</w:t>
      </w:r>
      <w:r w:rsidR="00BD58EB" w:rsidRPr="00D74DEF">
        <w:rPr>
          <w:rFonts w:ascii="Times New Roman" w:hAnsi="Times New Roman" w:cs="Times New Roman" w:hint="eastAsia"/>
          <w:sz w:val="24"/>
          <w:szCs w:val="24"/>
        </w:rPr>
        <w:t>月</w:t>
      </w:r>
      <w:r w:rsidR="00BD58EB" w:rsidRPr="00D74DEF">
        <w:rPr>
          <w:rFonts w:ascii="Times New Roman" w:hAnsi="Times New Roman" w:cs="Times New Roman"/>
          <w:sz w:val="24"/>
          <w:szCs w:val="24"/>
        </w:rPr>
        <w:t>29</w:t>
      </w:r>
      <w:r w:rsidR="00BD58EB" w:rsidRPr="00D74DEF">
        <w:rPr>
          <w:rFonts w:ascii="Times New Roman" w:hAnsi="Times New Roman" w:cs="Times New Roman" w:hint="eastAsia"/>
          <w:sz w:val="24"/>
          <w:szCs w:val="24"/>
        </w:rPr>
        <w:t>日起进入清算程序，本基金</w:t>
      </w:r>
      <w:r w:rsidR="003B6496" w:rsidRPr="00D74DEF">
        <w:rPr>
          <w:rFonts w:ascii="Times New Roman" w:hAnsi="Times New Roman" w:cs="Times New Roman" w:hint="eastAsia"/>
          <w:sz w:val="24"/>
          <w:szCs w:val="24"/>
        </w:rPr>
        <w:t>进入清算程序后</w:t>
      </w:r>
      <w:r w:rsidR="00BD58EB" w:rsidRPr="00D74DEF">
        <w:rPr>
          <w:rFonts w:ascii="Times New Roman" w:hAnsi="Times New Roman" w:cs="Times New Roman" w:hint="eastAsia"/>
          <w:sz w:val="24"/>
          <w:szCs w:val="24"/>
        </w:rPr>
        <w:t>停止收取基金管理费、基金托管费、销售服务费等。</w:t>
      </w:r>
      <w:r w:rsidRPr="00D74DEF">
        <w:rPr>
          <w:rFonts w:ascii="Times New Roman" w:hAnsi="Times New Roman" w:cs="Times New Roman" w:hint="eastAsia"/>
          <w:sz w:val="24"/>
          <w:szCs w:val="24"/>
        </w:rPr>
        <w:t>本基金进入清算程序前，本基金仍按照基金合同的约定进行运作。</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（二）基金财产的清算</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1</w:t>
      </w:r>
      <w:r w:rsidRPr="00D74DEF">
        <w:rPr>
          <w:rFonts w:ascii="Times New Roman" w:hAnsi="Times New Roman" w:cs="Times New Roman"/>
          <w:sz w:val="24"/>
          <w:szCs w:val="24"/>
        </w:rPr>
        <w:t>、基金管理人组织基金财产清算组并在中国证监会的监督下进行基金清算。基金财产清算组成员由基金管理人、基金托管人、</w:t>
      </w:r>
      <w:r w:rsidRPr="00D74DEF">
        <w:rPr>
          <w:rFonts w:ascii="Times New Roman" w:hAnsi="Times New Roman" w:cs="Times New Roman" w:hint="eastAsia"/>
          <w:sz w:val="24"/>
          <w:szCs w:val="24"/>
        </w:rPr>
        <w:t>符合《中华人民共和国证券法》规定的注册会计师、</w:t>
      </w:r>
      <w:r w:rsidRPr="00D74DEF">
        <w:rPr>
          <w:rFonts w:ascii="Times New Roman" w:hAnsi="Times New Roman" w:cs="Times New Roman"/>
          <w:sz w:val="24"/>
          <w:szCs w:val="24"/>
        </w:rPr>
        <w:t>律师以及中国证监会指定的人员组成。基金财产清算组可以聘用必要的工作人员。</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2</w:t>
      </w:r>
      <w:r w:rsidRPr="00D74DEF">
        <w:rPr>
          <w:rFonts w:ascii="Times New Roman" w:hAnsi="Times New Roman" w:cs="Times New Roman"/>
          <w:sz w:val="24"/>
          <w:szCs w:val="24"/>
        </w:rPr>
        <w:t>、基金财产清算组负责基金财产的保管、清理、估价、变现和分配。基金财产清算组可以依法进行必要的民事活动。</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3</w:t>
      </w:r>
      <w:r w:rsidRPr="00D74DEF">
        <w:rPr>
          <w:rFonts w:ascii="Times New Roman" w:hAnsi="Times New Roman" w:cs="Times New Roman"/>
          <w:sz w:val="24"/>
          <w:szCs w:val="24"/>
        </w:rPr>
        <w:t>、基金财产清算程序：</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1</w:t>
      </w:r>
      <w:r w:rsidRPr="00D74DEF">
        <w:rPr>
          <w:rFonts w:ascii="Times New Roman" w:hAnsi="Times New Roman" w:cs="Times New Roman" w:hint="eastAsia"/>
          <w:sz w:val="24"/>
          <w:szCs w:val="24"/>
        </w:rPr>
        <w:t>）基金合同终止情形发生后，发布基金财产清算公告；</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2</w:t>
      </w:r>
      <w:r w:rsidRPr="00D74DEF">
        <w:rPr>
          <w:rFonts w:ascii="Times New Roman" w:hAnsi="Times New Roman" w:cs="Times New Roman" w:hint="eastAsia"/>
          <w:sz w:val="24"/>
          <w:szCs w:val="24"/>
        </w:rPr>
        <w:t>）基金合同终止情形发生时，由基金财产清算组统一接管基金财产；</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3</w:t>
      </w:r>
      <w:r w:rsidRPr="00D74DEF">
        <w:rPr>
          <w:rFonts w:ascii="Times New Roman" w:hAnsi="Times New Roman" w:cs="Times New Roman" w:hint="eastAsia"/>
          <w:sz w:val="24"/>
          <w:szCs w:val="24"/>
        </w:rPr>
        <w:t>）对基金财产进行清理和确认；</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4</w:t>
      </w:r>
      <w:r w:rsidRPr="00D74DEF">
        <w:rPr>
          <w:rFonts w:ascii="Times New Roman" w:hAnsi="Times New Roman" w:cs="Times New Roman" w:hint="eastAsia"/>
          <w:sz w:val="24"/>
          <w:szCs w:val="24"/>
        </w:rPr>
        <w:t>）对基金财产进行估价和变现；</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5</w:t>
      </w:r>
      <w:r w:rsidRPr="00D74DEF">
        <w:rPr>
          <w:rFonts w:ascii="Times New Roman" w:hAnsi="Times New Roman" w:cs="Times New Roman" w:hint="eastAsia"/>
          <w:sz w:val="24"/>
          <w:szCs w:val="24"/>
        </w:rPr>
        <w:t>）聘请会计师事务所对清算报告进行审计；</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6</w:t>
      </w:r>
      <w:r w:rsidRPr="00D74DEF">
        <w:rPr>
          <w:rFonts w:ascii="Times New Roman" w:hAnsi="Times New Roman" w:cs="Times New Roman" w:hint="eastAsia"/>
          <w:sz w:val="24"/>
          <w:szCs w:val="24"/>
        </w:rPr>
        <w:t>）聘请律师事务所出具法律意见书；</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7</w:t>
      </w:r>
      <w:r w:rsidRPr="00D74DEF">
        <w:rPr>
          <w:rFonts w:ascii="Times New Roman" w:hAnsi="Times New Roman" w:cs="Times New Roman" w:hint="eastAsia"/>
          <w:sz w:val="24"/>
          <w:szCs w:val="24"/>
        </w:rPr>
        <w:t>）将基金财产清算结果报告中国证监会；</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lastRenderedPageBreak/>
        <w:t>（</w:t>
      </w:r>
      <w:r w:rsidRPr="00D74DEF">
        <w:rPr>
          <w:rFonts w:ascii="Times New Roman" w:hAnsi="Times New Roman" w:cs="Times New Roman" w:hint="eastAsia"/>
          <w:sz w:val="24"/>
          <w:szCs w:val="24"/>
        </w:rPr>
        <w:t>8</w:t>
      </w:r>
      <w:r w:rsidRPr="00D74DEF">
        <w:rPr>
          <w:rFonts w:ascii="Times New Roman" w:hAnsi="Times New Roman" w:cs="Times New Roman" w:hint="eastAsia"/>
          <w:sz w:val="24"/>
          <w:szCs w:val="24"/>
        </w:rPr>
        <w:t>）参加与基金财产有关的民事诉讼；</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9</w:t>
      </w:r>
      <w:r w:rsidRPr="00D74DEF">
        <w:rPr>
          <w:rFonts w:ascii="Times New Roman" w:hAnsi="Times New Roman" w:cs="Times New Roman" w:hint="eastAsia"/>
          <w:sz w:val="24"/>
          <w:szCs w:val="24"/>
        </w:rPr>
        <w:t>）公布基金财产清算结果；</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10</w:t>
      </w:r>
      <w:r w:rsidRPr="00D74DEF">
        <w:rPr>
          <w:rFonts w:ascii="Times New Roman" w:hAnsi="Times New Roman" w:cs="Times New Roman" w:hint="eastAsia"/>
          <w:sz w:val="24"/>
          <w:szCs w:val="24"/>
        </w:rPr>
        <w:t>）对基金剩余财产进行分配。</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4</w:t>
      </w:r>
      <w:r w:rsidRPr="00D74DEF">
        <w:rPr>
          <w:rFonts w:ascii="Times New Roman" w:hAnsi="Times New Roman" w:cs="Times New Roman"/>
          <w:sz w:val="24"/>
          <w:szCs w:val="24"/>
        </w:rPr>
        <w:t>、清算费用</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按照《基金合同》</w:t>
      </w:r>
      <w:r w:rsidR="002F1A32" w:rsidRPr="00D74DEF">
        <w:rPr>
          <w:rFonts w:ascii="Times New Roman" w:hAnsi="Times New Roman" w:cs="Times New Roman" w:hint="eastAsia"/>
          <w:sz w:val="24"/>
          <w:szCs w:val="24"/>
        </w:rPr>
        <w:t>“</w:t>
      </w:r>
      <w:r w:rsidRPr="00D74DEF">
        <w:rPr>
          <w:rFonts w:ascii="Times New Roman" w:hAnsi="Times New Roman" w:cs="Times New Roman"/>
          <w:sz w:val="24"/>
          <w:szCs w:val="24"/>
        </w:rPr>
        <w:t>第</w:t>
      </w:r>
      <w:r w:rsidRPr="00D74DEF">
        <w:rPr>
          <w:rFonts w:ascii="Times New Roman" w:hAnsi="Times New Roman" w:cs="Times New Roman" w:hint="eastAsia"/>
          <w:sz w:val="24"/>
          <w:szCs w:val="24"/>
        </w:rPr>
        <w:t>二十</w:t>
      </w:r>
      <w:r w:rsidRPr="00D74DEF">
        <w:rPr>
          <w:rFonts w:ascii="Times New Roman" w:hAnsi="Times New Roman" w:cs="Times New Roman"/>
          <w:sz w:val="24"/>
          <w:szCs w:val="24"/>
        </w:rPr>
        <w:t>部分</w:t>
      </w:r>
      <w:r w:rsidRPr="00D74DEF">
        <w:rPr>
          <w:rFonts w:ascii="Times New Roman" w:hAnsi="Times New Roman" w:cs="Times New Roman"/>
          <w:sz w:val="24"/>
          <w:szCs w:val="24"/>
        </w:rPr>
        <w:t xml:space="preserve"> </w:t>
      </w:r>
      <w:r w:rsidRPr="00D74DEF">
        <w:rPr>
          <w:rFonts w:ascii="Times New Roman" w:hAnsi="Times New Roman" w:cs="Times New Roman"/>
          <w:sz w:val="24"/>
          <w:szCs w:val="24"/>
        </w:rPr>
        <w:t>基金合同的变更、终止与基金财产的清算</w:t>
      </w:r>
      <w:r w:rsidR="002F1A32" w:rsidRPr="00D74DEF">
        <w:rPr>
          <w:rFonts w:ascii="Times New Roman" w:hAnsi="Times New Roman" w:cs="Times New Roman" w:hint="eastAsia"/>
          <w:sz w:val="24"/>
          <w:szCs w:val="24"/>
        </w:rPr>
        <w:t>”</w:t>
      </w:r>
      <w:r w:rsidRPr="00D74DEF">
        <w:rPr>
          <w:rFonts w:ascii="Times New Roman" w:hAnsi="Times New Roman" w:cs="Times New Roman"/>
          <w:sz w:val="24"/>
          <w:szCs w:val="24"/>
        </w:rPr>
        <w:t>的约定，清算费用是指基金财产清算组在进行基金</w:t>
      </w:r>
      <w:r w:rsidR="003B6496" w:rsidRPr="00D74DEF">
        <w:rPr>
          <w:rFonts w:ascii="Times New Roman" w:hAnsi="Times New Roman" w:cs="Times New Roman"/>
          <w:sz w:val="24"/>
          <w:szCs w:val="24"/>
        </w:rPr>
        <w:t>财产</w:t>
      </w:r>
      <w:r w:rsidRPr="00D74DEF">
        <w:rPr>
          <w:rFonts w:ascii="Times New Roman" w:hAnsi="Times New Roman" w:cs="Times New Roman"/>
          <w:sz w:val="24"/>
          <w:szCs w:val="24"/>
        </w:rPr>
        <w:t>清算过程中发生的所有合理费用，清算费用由基金财产清算组优先从基金财产中支付。</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5</w:t>
      </w:r>
      <w:r w:rsidRPr="00D74DEF">
        <w:rPr>
          <w:rFonts w:ascii="Times New Roman" w:hAnsi="Times New Roman" w:cs="Times New Roman"/>
          <w:sz w:val="24"/>
          <w:szCs w:val="24"/>
        </w:rPr>
        <w:t>、基金财产清算剩余资产分配</w:t>
      </w:r>
    </w:p>
    <w:p w:rsidR="00AE68F9" w:rsidRPr="00D74DEF" w:rsidRDefault="00BA5BAF">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004C6FE9" w:rsidRPr="00D74DEF">
        <w:rPr>
          <w:rFonts w:ascii="Times New Roman" w:hAnsi="Times New Roman" w:cs="Times New Roman" w:hint="eastAsia"/>
          <w:sz w:val="24"/>
          <w:szCs w:val="24"/>
        </w:rPr>
        <w:t>1</w:t>
      </w:r>
      <w:r w:rsidRPr="00D74DEF">
        <w:rPr>
          <w:rFonts w:ascii="Times New Roman" w:hAnsi="Times New Roman" w:cs="Times New Roman" w:hint="eastAsia"/>
          <w:sz w:val="24"/>
          <w:szCs w:val="24"/>
        </w:rPr>
        <w:t>）</w:t>
      </w:r>
      <w:r w:rsidR="004C6FE9" w:rsidRPr="00D74DEF">
        <w:rPr>
          <w:rFonts w:ascii="Times New Roman" w:hAnsi="Times New Roman" w:cs="Times New Roman" w:hint="eastAsia"/>
          <w:sz w:val="24"/>
          <w:szCs w:val="24"/>
        </w:rPr>
        <w:t>支付清算费用；</w:t>
      </w:r>
    </w:p>
    <w:p w:rsidR="00AE68F9" w:rsidRPr="00D74DEF" w:rsidRDefault="00BA5BAF">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004C6FE9" w:rsidRPr="00D74DEF">
        <w:rPr>
          <w:rFonts w:ascii="Times New Roman" w:hAnsi="Times New Roman" w:cs="Times New Roman" w:hint="eastAsia"/>
          <w:sz w:val="24"/>
          <w:szCs w:val="24"/>
        </w:rPr>
        <w:t>2</w:t>
      </w:r>
      <w:r w:rsidRPr="00D74DEF">
        <w:rPr>
          <w:rFonts w:ascii="Times New Roman" w:hAnsi="Times New Roman" w:cs="Times New Roman" w:hint="eastAsia"/>
          <w:sz w:val="24"/>
          <w:szCs w:val="24"/>
        </w:rPr>
        <w:t>）</w:t>
      </w:r>
      <w:r w:rsidR="004C6FE9" w:rsidRPr="00D74DEF">
        <w:rPr>
          <w:rFonts w:ascii="Times New Roman" w:hAnsi="Times New Roman" w:cs="Times New Roman" w:hint="eastAsia"/>
          <w:sz w:val="24"/>
          <w:szCs w:val="24"/>
        </w:rPr>
        <w:t>交纳所欠税款；</w:t>
      </w:r>
    </w:p>
    <w:p w:rsidR="00AE68F9" w:rsidRPr="00D74DEF" w:rsidRDefault="00BA5BAF">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004C6FE9" w:rsidRPr="00D74DEF">
        <w:rPr>
          <w:rFonts w:ascii="Times New Roman" w:hAnsi="Times New Roman" w:cs="Times New Roman" w:hint="eastAsia"/>
          <w:sz w:val="24"/>
          <w:szCs w:val="24"/>
        </w:rPr>
        <w:t>3</w:t>
      </w:r>
      <w:r w:rsidRPr="00D74DEF">
        <w:rPr>
          <w:rFonts w:ascii="Times New Roman" w:hAnsi="Times New Roman" w:cs="Times New Roman" w:hint="eastAsia"/>
          <w:sz w:val="24"/>
          <w:szCs w:val="24"/>
        </w:rPr>
        <w:t>）</w:t>
      </w:r>
      <w:r w:rsidR="004C6FE9" w:rsidRPr="00D74DEF">
        <w:rPr>
          <w:rFonts w:ascii="Times New Roman" w:hAnsi="Times New Roman" w:cs="Times New Roman" w:hint="eastAsia"/>
          <w:sz w:val="24"/>
          <w:szCs w:val="24"/>
        </w:rPr>
        <w:t>清偿基金债务；</w:t>
      </w:r>
    </w:p>
    <w:p w:rsidR="00AE68F9" w:rsidRPr="00D74DEF" w:rsidRDefault="00BA5BAF">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w:t>
      </w:r>
      <w:r w:rsidR="004C6FE9" w:rsidRPr="00D74DEF">
        <w:rPr>
          <w:rFonts w:ascii="Times New Roman" w:hAnsi="Times New Roman" w:cs="Times New Roman" w:hint="eastAsia"/>
          <w:sz w:val="24"/>
          <w:szCs w:val="24"/>
        </w:rPr>
        <w:t>4</w:t>
      </w:r>
      <w:r w:rsidRPr="00D74DEF">
        <w:rPr>
          <w:rFonts w:ascii="Times New Roman" w:hAnsi="Times New Roman" w:cs="Times New Roman" w:hint="eastAsia"/>
          <w:sz w:val="24"/>
          <w:szCs w:val="24"/>
        </w:rPr>
        <w:t>）</w:t>
      </w:r>
      <w:r w:rsidR="004C6FE9" w:rsidRPr="00D74DEF">
        <w:rPr>
          <w:rFonts w:ascii="Times New Roman" w:hAnsi="Times New Roman" w:cs="Times New Roman" w:hint="eastAsia"/>
          <w:sz w:val="24"/>
          <w:szCs w:val="24"/>
        </w:rPr>
        <w:t>按基金份额持有人持有的基金份额比例进行分配。</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基金财产未按前款</w:t>
      </w:r>
      <w:r w:rsidRPr="00D74DEF">
        <w:rPr>
          <w:rFonts w:ascii="Times New Roman" w:hAnsi="Times New Roman" w:cs="Times New Roman" w:hint="eastAsia"/>
          <w:sz w:val="24"/>
          <w:szCs w:val="24"/>
        </w:rPr>
        <w:t>(1)</w:t>
      </w:r>
      <w:r w:rsidRPr="00D74DEF">
        <w:rPr>
          <w:rFonts w:ascii="Times New Roman" w:hAnsi="Times New Roman" w:cs="Times New Roman" w:hint="eastAsia"/>
          <w:sz w:val="24"/>
          <w:szCs w:val="24"/>
        </w:rPr>
        <w:t>－</w:t>
      </w:r>
      <w:r w:rsidRPr="00D74DEF">
        <w:rPr>
          <w:rFonts w:ascii="Times New Roman" w:hAnsi="Times New Roman" w:cs="Times New Roman" w:hint="eastAsia"/>
          <w:sz w:val="24"/>
          <w:szCs w:val="24"/>
        </w:rPr>
        <w:t>(3)</w:t>
      </w:r>
      <w:r w:rsidRPr="00D74DEF">
        <w:rPr>
          <w:rFonts w:ascii="Times New Roman" w:hAnsi="Times New Roman" w:cs="Times New Roman" w:hint="eastAsia"/>
          <w:sz w:val="24"/>
          <w:szCs w:val="24"/>
        </w:rPr>
        <w:t>项规定清偿前，不分配给基金份额持有人。</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6</w:t>
      </w:r>
      <w:r w:rsidRPr="00D74DEF">
        <w:rPr>
          <w:rFonts w:ascii="Times New Roman" w:hAnsi="Times New Roman" w:cs="Times New Roman"/>
          <w:sz w:val="24"/>
          <w:szCs w:val="24"/>
        </w:rPr>
        <w:t>、基金财产清算的公告</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基金财产清算公告于基金合同终止并报中国证监会备案后</w:t>
      </w:r>
      <w:r w:rsidRPr="00D74DEF">
        <w:rPr>
          <w:rFonts w:ascii="Times New Roman" w:hAnsi="Times New Roman" w:cs="Times New Roman" w:hint="eastAsia"/>
          <w:sz w:val="24"/>
          <w:szCs w:val="24"/>
        </w:rPr>
        <w:t>5</w:t>
      </w:r>
      <w:r w:rsidRPr="00D74DEF">
        <w:rPr>
          <w:rFonts w:ascii="Times New Roman" w:hAnsi="Times New Roman" w:cs="Times New Roman" w:hint="eastAsia"/>
          <w:sz w:val="24"/>
          <w:szCs w:val="24"/>
        </w:rPr>
        <w:t>个工作日内由基金财产清算组公告；清算过程中的有关重大事项须及时公告；基金财产清算结果经会计师事务所审计，律师事务所出具法律意见书后，由基金财产清算组报中国证监会备案并公告。</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7</w:t>
      </w:r>
      <w:r w:rsidRPr="00D74DEF">
        <w:rPr>
          <w:rFonts w:ascii="Times New Roman" w:hAnsi="Times New Roman" w:cs="Times New Roman"/>
          <w:sz w:val="24"/>
          <w:szCs w:val="24"/>
        </w:rPr>
        <w:t>、基金财产清算账册及文件的保存</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基金财产清算账册及有关文件由基金托管人保存，保存期限不低于法律法规规定的最低期限。</w:t>
      </w:r>
    </w:p>
    <w:p w:rsidR="00AE68F9" w:rsidRPr="00D74DEF" w:rsidRDefault="00AE68F9">
      <w:pPr>
        <w:spacing w:line="360" w:lineRule="auto"/>
        <w:ind w:firstLineChars="201" w:firstLine="482"/>
        <w:rPr>
          <w:rFonts w:ascii="Times New Roman" w:hAnsi="Times New Roman" w:cs="Times New Roman"/>
          <w:sz w:val="24"/>
          <w:szCs w:val="24"/>
        </w:rPr>
      </w:pPr>
    </w:p>
    <w:p w:rsidR="00AE68F9" w:rsidRPr="00D74DEF" w:rsidRDefault="004C6FE9">
      <w:pPr>
        <w:spacing w:line="360" w:lineRule="auto"/>
        <w:ind w:firstLineChars="201" w:firstLine="484"/>
        <w:rPr>
          <w:rFonts w:ascii="Times New Roman" w:hAnsi="Times New Roman" w:cs="Times New Roman"/>
          <w:b/>
          <w:sz w:val="24"/>
          <w:szCs w:val="24"/>
        </w:rPr>
      </w:pPr>
      <w:r w:rsidRPr="00D74DEF">
        <w:rPr>
          <w:rFonts w:ascii="Times New Roman" w:hAnsi="Times New Roman" w:cs="Times New Roman" w:hint="eastAsia"/>
          <w:b/>
          <w:sz w:val="24"/>
          <w:szCs w:val="24"/>
        </w:rPr>
        <w:t>四、相关机构</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1</w:t>
      </w:r>
      <w:r w:rsidRPr="00D74DEF">
        <w:rPr>
          <w:rFonts w:ascii="Times New Roman" w:hAnsi="Times New Roman" w:cs="Times New Roman" w:hint="eastAsia"/>
          <w:sz w:val="24"/>
          <w:szCs w:val="24"/>
        </w:rPr>
        <w:t>、基金管理人联系方式</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名称：民生加银基金管理有限公司</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注册地址：深圳市福田区福中三路</w:t>
      </w:r>
      <w:r w:rsidRPr="00D74DEF">
        <w:rPr>
          <w:rFonts w:ascii="Times New Roman" w:hAnsi="Times New Roman" w:cs="Times New Roman" w:hint="eastAsia"/>
          <w:sz w:val="24"/>
          <w:szCs w:val="24"/>
        </w:rPr>
        <w:t>2</w:t>
      </w:r>
      <w:r w:rsidRPr="00D74DEF">
        <w:rPr>
          <w:rFonts w:ascii="Times New Roman" w:hAnsi="Times New Roman" w:cs="Times New Roman"/>
          <w:sz w:val="24"/>
          <w:szCs w:val="24"/>
        </w:rPr>
        <w:t>005</w:t>
      </w:r>
      <w:r w:rsidRPr="00D74DEF">
        <w:rPr>
          <w:rFonts w:ascii="Times New Roman" w:hAnsi="Times New Roman" w:cs="Times New Roman" w:hint="eastAsia"/>
          <w:sz w:val="24"/>
          <w:szCs w:val="24"/>
        </w:rPr>
        <w:t>号民生金融大厦</w:t>
      </w:r>
      <w:r w:rsidRPr="00D74DEF">
        <w:rPr>
          <w:rFonts w:ascii="Times New Roman" w:hAnsi="Times New Roman" w:cs="Times New Roman" w:hint="eastAsia"/>
          <w:sz w:val="24"/>
          <w:szCs w:val="24"/>
        </w:rPr>
        <w:t>1</w:t>
      </w:r>
      <w:r w:rsidRPr="00D74DEF">
        <w:rPr>
          <w:rFonts w:ascii="Times New Roman" w:hAnsi="Times New Roman" w:cs="Times New Roman"/>
          <w:sz w:val="24"/>
          <w:szCs w:val="24"/>
        </w:rPr>
        <w:t>3</w:t>
      </w:r>
      <w:r w:rsidRPr="00D74DEF">
        <w:rPr>
          <w:rFonts w:ascii="Times New Roman" w:hAnsi="Times New Roman" w:cs="Times New Roman" w:hint="eastAsia"/>
          <w:sz w:val="24"/>
          <w:szCs w:val="24"/>
        </w:rPr>
        <w:t>楼</w:t>
      </w:r>
      <w:r w:rsidRPr="00D74DEF">
        <w:rPr>
          <w:rFonts w:ascii="Times New Roman" w:hAnsi="Times New Roman" w:cs="Times New Roman" w:hint="eastAsia"/>
          <w:sz w:val="24"/>
          <w:szCs w:val="24"/>
        </w:rPr>
        <w:t>1</w:t>
      </w:r>
      <w:r w:rsidRPr="00D74DEF">
        <w:rPr>
          <w:rFonts w:ascii="Times New Roman" w:hAnsi="Times New Roman" w:cs="Times New Roman"/>
          <w:sz w:val="24"/>
          <w:szCs w:val="24"/>
        </w:rPr>
        <w:t>3A</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办公地址：深圳市福田区福中三路</w:t>
      </w:r>
      <w:r w:rsidRPr="00D74DEF">
        <w:rPr>
          <w:rFonts w:ascii="Times New Roman" w:hAnsi="Times New Roman" w:cs="Times New Roman" w:hint="eastAsia"/>
          <w:sz w:val="24"/>
          <w:szCs w:val="24"/>
        </w:rPr>
        <w:t>2</w:t>
      </w:r>
      <w:r w:rsidRPr="00D74DEF">
        <w:rPr>
          <w:rFonts w:ascii="Times New Roman" w:hAnsi="Times New Roman" w:cs="Times New Roman"/>
          <w:sz w:val="24"/>
          <w:szCs w:val="24"/>
        </w:rPr>
        <w:t>005</w:t>
      </w:r>
      <w:r w:rsidRPr="00D74DEF">
        <w:rPr>
          <w:rFonts w:ascii="Times New Roman" w:hAnsi="Times New Roman" w:cs="Times New Roman" w:hint="eastAsia"/>
          <w:sz w:val="24"/>
          <w:szCs w:val="24"/>
        </w:rPr>
        <w:t>号民生金融大厦</w:t>
      </w:r>
      <w:r w:rsidRPr="00D74DEF">
        <w:rPr>
          <w:rFonts w:ascii="Times New Roman" w:hAnsi="Times New Roman" w:cs="Times New Roman" w:hint="eastAsia"/>
          <w:sz w:val="24"/>
          <w:szCs w:val="24"/>
        </w:rPr>
        <w:t>1</w:t>
      </w:r>
      <w:r w:rsidRPr="00D74DEF">
        <w:rPr>
          <w:rFonts w:ascii="Times New Roman" w:hAnsi="Times New Roman" w:cs="Times New Roman"/>
          <w:sz w:val="24"/>
          <w:szCs w:val="24"/>
        </w:rPr>
        <w:t>3</w:t>
      </w:r>
      <w:r w:rsidRPr="00D74DEF">
        <w:rPr>
          <w:rFonts w:ascii="Times New Roman" w:hAnsi="Times New Roman" w:cs="Times New Roman" w:hint="eastAsia"/>
          <w:sz w:val="24"/>
          <w:szCs w:val="24"/>
        </w:rPr>
        <w:t>楼</w:t>
      </w:r>
      <w:r w:rsidRPr="00D74DEF">
        <w:rPr>
          <w:rFonts w:ascii="Times New Roman" w:hAnsi="Times New Roman" w:cs="Times New Roman" w:hint="eastAsia"/>
          <w:sz w:val="24"/>
          <w:szCs w:val="24"/>
        </w:rPr>
        <w:t>1</w:t>
      </w:r>
      <w:r w:rsidRPr="00D74DEF">
        <w:rPr>
          <w:rFonts w:ascii="Times New Roman" w:hAnsi="Times New Roman" w:cs="Times New Roman"/>
          <w:sz w:val="24"/>
          <w:szCs w:val="24"/>
        </w:rPr>
        <w:t>3A</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客服电话：</w:t>
      </w:r>
      <w:r w:rsidRPr="00D74DEF">
        <w:rPr>
          <w:rFonts w:ascii="Times New Roman" w:hAnsi="Times New Roman" w:cs="Times New Roman" w:hint="eastAsia"/>
          <w:sz w:val="24"/>
          <w:szCs w:val="24"/>
        </w:rPr>
        <w:t>400-88</w:t>
      </w:r>
      <w:r w:rsidRPr="00D74DEF">
        <w:rPr>
          <w:rFonts w:ascii="Times New Roman" w:hAnsi="Times New Roman" w:cs="Times New Roman"/>
          <w:sz w:val="24"/>
          <w:szCs w:val="24"/>
        </w:rPr>
        <w:t>88</w:t>
      </w:r>
      <w:r w:rsidRPr="00D74DEF">
        <w:rPr>
          <w:rFonts w:ascii="Times New Roman" w:hAnsi="Times New Roman" w:cs="Times New Roman" w:hint="eastAsia"/>
          <w:sz w:val="24"/>
          <w:szCs w:val="24"/>
        </w:rPr>
        <w:t>-</w:t>
      </w:r>
      <w:r w:rsidRPr="00D74DEF">
        <w:rPr>
          <w:rFonts w:ascii="Times New Roman" w:hAnsi="Times New Roman" w:cs="Times New Roman"/>
          <w:sz w:val="24"/>
          <w:szCs w:val="24"/>
        </w:rPr>
        <w:t>388</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2</w:t>
      </w:r>
      <w:r w:rsidRPr="00D74DEF">
        <w:rPr>
          <w:rFonts w:ascii="Times New Roman" w:hAnsi="Times New Roman" w:cs="Times New Roman" w:hint="eastAsia"/>
          <w:sz w:val="24"/>
          <w:szCs w:val="24"/>
        </w:rPr>
        <w:t>、基金托管人联系方式</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名称：中国建设银行股份有限公司</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住所：北京市西城区金融大街</w:t>
      </w:r>
      <w:r w:rsidRPr="00D74DEF">
        <w:rPr>
          <w:rFonts w:ascii="Times New Roman" w:hAnsi="Times New Roman" w:cs="Times New Roman" w:hint="eastAsia"/>
          <w:sz w:val="24"/>
          <w:szCs w:val="24"/>
        </w:rPr>
        <w:t>25</w:t>
      </w:r>
      <w:r w:rsidRPr="00D74DEF">
        <w:rPr>
          <w:rFonts w:ascii="Times New Roman" w:hAnsi="Times New Roman" w:cs="Times New Roman" w:hint="eastAsia"/>
          <w:sz w:val="24"/>
          <w:szCs w:val="24"/>
        </w:rPr>
        <w:t>号</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办公地址：北京市西城区闹市口大街</w:t>
      </w:r>
      <w:r w:rsidRPr="00D74DEF">
        <w:rPr>
          <w:rFonts w:ascii="Times New Roman" w:hAnsi="Times New Roman" w:cs="Times New Roman" w:hint="eastAsia"/>
          <w:sz w:val="24"/>
          <w:szCs w:val="24"/>
        </w:rPr>
        <w:t>1</w:t>
      </w:r>
      <w:r w:rsidRPr="00D74DEF">
        <w:rPr>
          <w:rFonts w:ascii="Times New Roman" w:hAnsi="Times New Roman" w:cs="Times New Roman" w:hint="eastAsia"/>
          <w:sz w:val="24"/>
          <w:szCs w:val="24"/>
        </w:rPr>
        <w:t>号院</w:t>
      </w:r>
      <w:r w:rsidRPr="00D74DEF">
        <w:rPr>
          <w:rFonts w:ascii="Times New Roman" w:hAnsi="Times New Roman" w:cs="Times New Roman" w:hint="eastAsia"/>
          <w:sz w:val="24"/>
          <w:szCs w:val="24"/>
        </w:rPr>
        <w:t>1</w:t>
      </w:r>
      <w:r w:rsidRPr="00D74DEF">
        <w:rPr>
          <w:rFonts w:ascii="Times New Roman" w:hAnsi="Times New Roman" w:cs="Times New Roman" w:hint="eastAsia"/>
          <w:sz w:val="24"/>
          <w:szCs w:val="24"/>
        </w:rPr>
        <w:t>号楼</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客服电话：</w:t>
      </w:r>
      <w:r w:rsidRPr="00D74DEF">
        <w:rPr>
          <w:rFonts w:ascii="Times New Roman" w:hAnsi="Times New Roman" w:cs="Times New Roman" w:hint="eastAsia"/>
          <w:sz w:val="24"/>
          <w:szCs w:val="24"/>
        </w:rPr>
        <w:t>9</w:t>
      </w:r>
      <w:r w:rsidRPr="00D74DEF">
        <w:rPr>
          <w:rFonts w:ascii="Times New Roman" w:hAnsi="Times New Roman" w:cs="Times New Roman"/>
          <w:sz w:val="24"/>
          <w:szCs w:val="24"/>
        </w:rPr>
        <w:t>5533</w:t>
      </w:r>
    </w:p>
    <w:p w:rsidR="00AE68F9" w:rsidRPr="00D74DEF" w:rsidRDefault="00AE68F9">
      <w:pPr>
        <w:spacing w:line="360" w:lineRule="auto"/>
        <w:ind w:firstLineChars="201" w:firstLine="482"/>
        <w:rPr>
          <w:rFonts w:ascii="Times New Roman" w:hAnsi="Times New Roman" w:cs="Times New Roman"/>
          <w:sz w:val="24"/>
          <w:szCs w:val="24"/>
        </w:rPr>
      </w:pPr>
    </w:p>
    <w:p w:rsidR="00AE68F9" w:rsidRPr="00D74DEF" w:rsidRDefault="004C6FE9">
      <w:pPr>
        <w:spacing w:line="360" w:lineRule="auto"/>
        <w:ind w:firstLineChars="201" w:firstLine="484"/>
        <w:rPr>
          <w:rFonts w:ascii="Times New Roman" w:hAnsi="Times New Roman" w:cs="Times New Roman"/>
          <w:b/>
          <w:sz w:val="24"/>
          <w:szCs w:val="24"/>
        </w:rPr>
      </w:pPr>
      <w:r w:rsidRPr="00D74DEF">
        <w:rPr>
          <w:rFonts w:ascii="Times New Roman" w:hAnsi="Times New Roman" w:cs="Times New Roman" w:hint="eastAsia"/>
          <w:b/>
          <w:sz w:val="24"/>
          <w:szCs w:val="24"/>
        </w:rPr>
        <w:t>五</w:t>
      </w:r>
      <w:r w:rsidRPr="00D74DEF">
        <w:rPr>
          <w:rFonts w:ascii="Times New Roman" w:hAnsi="Times New Roman" w:cs="Times New Roman"/>
          <w:b/>
          <w:sz w:val="24"/>
          <w:szCs w:val="24"/>
        </w:rPr>
        <w:t>、其他需要提示的事项</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1</w:t>
      </w:r>
      <w:r w:rsidRPr="00D74DEF">
        <w:rPr>
          <w:rFonts w:ascii="Times New Roman" w:hAnsi="Times New Roman" w:cs="Times New Roman"/>
          <w:sz w:val="24"/>
          <w:szCs w:val="24"/>
        </w:rPr>
        <w:t>、</w:t>
      </w:r>
      <w:r w:rsidRPr="00D74DEF">
        <w:rPr>
          <w:rFonts w:ascii="Times New Roman" w:hAnsi="Times New Roman" w:cs="Times New Roman" w:hint="eastAsia"/>
          <w:sz w:val="24"/>
          <w:szCs w:val="24"/>
        </w:rPr>
        <w:t>基金财产清算组将在完成基金财产清算工作（即履行变现、支付清算费用等程序）后，将基金剩余财产向基金份额持有人进行分配，最终分配金额可能低于按基金最后运作日披露的基金份额净值计算的金额。敬请投资人关注相应的流动性风险，妥善做好投资安排。</w:t>
      </w: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hint="eastAsia"/>
          <w:sz w:val="24"/>
          <w:szCs w:val="24"/>
        </w:rPr>
        <w:t>2</w:t>
      </w:r>
      <w:r w:rsidRPr="00D74DEF">
        <w:rPr>
          <w:rFonts w:ascii="Times New Roman" w:hAnsi="Times New Roman" w:cs="Times New Roman" w:hint="eastAsia"/>
          <w:sz w:val="24"/>
          <w:szCs w:val="24"/>
        </w:rPr>
        <w:t>、</w:t>
      </w:r>
      <w:r w:rsidRPr="00D74DEF">
        <w:rPr>
          <w:rFonts w:ascii="Times New Roman" w:hAnsi="Times New Roman" w:cs="Times New Roman"/>
          <w:sz w:val="24"/>
          <w:szCs w:val="24"/>
        </w:rPr>
        <w:t>本公司承诺在清算过程中以诚实信用、勤勉尽责的原则履行相关职责。基金财产清算结果将在报中国证监会备案后公布，并将遵照法律法规、基金合同等规定及时进行分配，敬请投资者留意。</w:t>
      </w:r>
    </w:p>
    <w:p w:rsidR="00AE68F9" w:rsidRPr="00D74DEF" w:rsidRDefault="004C6FE9">
      <w:pPr>
        <w:spacing w:line="360" w:lineRule="auto"/>
        <w:ind w:firstLineChars="200" w:firstLine="480"/>
        <w:rPr>
          <w:rFonts w:ascii="Times New Roman" w:hAnsi="Times New Roman" w:cs="Times New Roman"/>
          <w:sz w:val="24"/>
          <w:szCs w:val="24"/>
        </w:rPr>
      </w:pPr>
      <w:r w:rsidRPr="00D74DEF">
        <w:rPr>
          <w:rFonts w:ascii="Times New Roman" w:hAnsi="Times New Roman" w:cs="Times New Roman"/>
          <w:sz w:val="24"/>
          <w:szCs w:val="24"/>
        </w:rPr>
        <w:t>3</w:t>
      </w:r>
      <w:r w:rsidRPr="00D74DEF">
        <w:rPr>
          <w:rFonts w:ascii="Times New Roman" w:hAnsi="Times New Roman" w:cs="Times New Roman"/>
          <w:sz w:val="24"/>
          <w:szCs w:val="24"/>
        </w:rPr>
        <w:t>、</w:t>
      </w:r>
      <w:r w:rsidRPr="00D74DEF">
        <w:rPr>
          <w:rFonts w:ascii="Times New Roman" w:hAnsi="Times New Roman" w:cs="Times New Roman" w:hint="eastAsia"/>
          <w:sz w:val="24"/>
          <w:szCs w:val="24"/>
        </w:rPr>
        <w:t>投资者欲了解本基金的详细情况，可于本基金管理人网站或相关销售机构查阅本基金相关法律文件及资料。</w:t>
      </w:r>
      <w:r w:rsidRPr="00D74DEF">
        <w:rPr>
          <w:rFonts w:ascii="Times New Roman" w:hAnsi="Times New Roman" w:cs="Times New Roman"/>
          <w:sz w:val="24"/>
          <w:szCs w:val="24"/>
        </w:rPr>
        <w:t>如有疑问，投资者可以登录本公司网站（</w:t>
      </w:r>
      <w:r w:rsidRPr="00D74DEF">
        <w:rPr>
          <w:rFonts w:ascii="Times New Roman" w:hAnsi="Times New Roman" w:cs="Times New Roman"/>
          <w:sz w:val="24"/>
          <w:szCs w:val="24"/>
        </w:rPr>
        <w:t>www.msjyfund.com.cn</w:t>
      </w:r>
      <w:r w:rsidRPr="00D74DEF">
        <w:rPr>
          <w:rFonts w:ascii="Times New Roman" w:hAnsi="Times New Roman" w:cs="Times New Roman"/>
          <w:sz w:val="24"/>
          <w:szCs w:val="24"/>
        </w:rPr>
        <w:t>）或拨打客户服务电话</w:t>
      </w:r>
      <w:r w:rsidRPr="00D74DEF">
        <w:rPr>
          <w:rFonts w:ascii="Times New Roman" w:hAnsi="Times New Roman" w:cs="Times New Roman"/>
          <w:sz w:val="24"/>
          <w:szCs w:val="24"/>
        </w:rPr>
        <w:t>400-8888-388</w:t>
      </w:r>
      <w:r w:rsidRPr="00D74DEF">
        <w:rPr>
          <w:rFonts w:ascii="Times New Roman" w:hAnsi="Times New Roman" w:cs="Times New Roman"/>
          <w:sz w:val="24"/>
          <w:szCs w:val="24"/>
        </w:rPr>
        <w:t>咨询相关信息。</w:t>
      </w:r>
    </w:p>
    <w:p w:rsidR="00AE68F9" w:rsidRPr="00D74DEF" w:rsidRDefault="00AE68F9">
      <w:pPr>
        <w:spacing w:line="360" w:lineRule="auto"/>
        <w:ind w:firstLineChars="201" w:firstLine="482"/>
        <w:rPr>
          <w:rFonts w:ascii="Times New Roman" w:hAnsi="Times New Roman" w:cs="Times New Roman"/>
          <w:sz w:val="24"/>
          <w:szCs w:val="24"/>
        </w:rPr>
      </w:pPr>
    </w:p>
    <w:p w:rsidR="00AE68F9" w:rsidRPr="00D74DEF" w:rsidRDefault="004C6FE9">
      <w:pPr>
        <w:spacing w:line="360" w:lineRule="auto"/>
        <w:ind w:firstLineChars="200" w:firstLine="482"/>
        <w:rPr>
          <w:rFonts w:ascii="Times New Roman" w:hAnsi="Times New Roman"/>
          <w:b/>
          <w:sz w:val="24"/>
          <w:szCs w:val="24"/>
        </w:rPr>
      </w:pPr>
      <w:r w:rsidRPr="00D74DEF">
        <w:rPr>
          <w:rFonts w:ascii="Times New Roman" w:hAnsi="Times New Roman" w:hint="eastAsia"/>
          <w:b/>
          <w:sz w:val="24"/>
          <w:szCs w:val="24"/>
        </w:rPr>
        <w:t>风险提示</w:t>
      </w:r>
      <w:r w:rsidRPr="00D74DEF">
        <w:rPr>
          <w:rFonts w:ascii="Times New Roman" w:hAnsi="Times New Roman" w:hint="eastAsia"/>
          <w:b/>
          <w:sz w:val="24"/>
          <w:szCs w:val="24"/>
        </w:rPr>
        <w:t>:</w:t>
      </w:r>
      <w:r w:rsidRPr="00D74DEF">
        <w:rPr>
          <w:rFonts w:ascii="Times New Roman" w:hAnsi="Times New Roman" w:hint="eastAsia"/>
          <w:b/>
          <w:sz w:val="24"/>
          <w:szCs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AE68F9" w:rsidRPr="00D74DEF" w:rsidRDefault="00AE68F9">
      <w:pPr>
        <w:spacing w:line="360" w:lineRule="auto"/>
        <w:ind w:firstLineChars="201" w:firstLine="482"/>
        <w:rPr>
          <w:rFonts w:ascii="Times New Roman" w:hAnsi="Times New Roman" w:cs="Times New Roman"/>
          <w:sz w:val="24"/>
          <w:szCs w:val="24"/>
        </w:rPr>
      </w:pPr>
    </w:p>
    <w:p w:rsidR="00AE68F9" w:rsidRPr="00D74DEF" w:rsidRDefault="004C6FE9">
      <w:pPr>
        <w:spacing w:line="360" w:lineRule="auto"/>
        <w:ind w:firstLineChars="201" w:firstLine="482"/>
        <w:rPr>
          <w:rFonts w:ascii="Times New Roman" w:hAnsi="Times New Roman" w:cs="Times New Roman"/>
          <w:sz w:val="24"/>
          <w:szCs w:val="24"/>
        </w:rPr>
      </w:pPr>
      <w:r w:rsidRPr="00D74DEF">
        <w:rPr>
          <w:rFonts w:ascii="Times New Roman" w:hAnsi="Times New Roman" w:cs="Times New Roman"/>
          <w:sz w:val="24"/>
          <w:szCs w:val="24"/>
        </w:rPr>
        <w:t>特此公告。</w:t>
      </w:r>
    </w:p>
    <w:p w:rsidR="00AE68F9" w:rsidRPr="00D74DEF" w:rsidRDefault="00AE68F9">
      <w:pPr>
        <w:spacing w:line="360" w:lineRule="auto"/>
        <w:ind w:firstLineChars="201" w:firstLine="482"/>
        <w:rPr>
          <w:rFonts w:ascii="Times New Roman" w:hAnsi="Times New Roman" w:cs="Times New Roman"/>
          <w:sz w:val="24"/>
          <w:szCs w:val="24"/>
        </w:rPr>
      </w:pPr>
    </w:p>
    <w:p w:rsidR="00AE68F9" w:rsidRPr="00D74DEF" w:rsidRDefault="004C6FE9">
      <w:pPr>
        <w:spacing w:line="360" w:lineRule="auto"/>
        <w:ind w:firstLineChars="201" w:firstLine="482"/>
        <w:jc w:val="right"/>
        <w:rPr>
          <w:rFonts w:ascii="Times New Roman" w:hAnsi="Times New Roman" w:cs="Times New Roman"/>
          <w:sz w:val="24"/>
          <w:szCs w:val="24"/>
        </w:rPr>
      </w:pPr>
      <w:r w:rsidRPr="00D74DEF">
        <w:rPr>
          <w:rFonts w:ascii="Times New Roman" w:hAnsi="Times New Roman" w:cs="Times New Roman"/>
          <w:sz w:val="24"/>
          <w:szCs w:val="24"/>
        </w:rPr>
        <w:t>民生加银基金管理有限公司</w:t>
      </w:r>
    </w:p>
    <w:p w:rsidR="00AE68F9" w:rsidRPr="00D74DEF" w:rsidRDefault="004C6FE9">
      <w:pPr>
        <w:spacing w:line="360" w:lineRule="auto"/>
        <w:ind w:firstLineChars="201" w:firstLine="482"/>
        <w:jc w:val="right"/>
        <w:rPr>
          <w:rFonts w:ascii="Times New Roman" w:hAnsi="Times New Roman" w:cs="Times New Roman"/>
          <w:sz w:val="24"/>
          <w:szCs w:val="24"/>
        </w:rPr>
      </w:pPr>
      <w:r w:rsidRPr="00D74DEF">
        <w:rPr>
          <w:rFonts w:ascii="Times New Roman" w:hAnsi="Times New Roman" w:cs="Times New Roman"/>
          <w:sz w:val="24"/>
          <w:szCs w:val="24"/>
        </w:rPr>
        <w:t>2022</w:t>
      </w:r>
      <w:r w:rsidRPr="00D74DEF">
        <w:rPr>
          <w:rFonts w:ascii="Times New Roman" w:hAnsi="Times New Roman" w:cs="Times New Roman"/>
          <w:sz w:val="24"/>
          <w:szCs w:val="24"/>
        </w:rPr>
        <w:t>年</w:t>
      </w:r>
      <w:r w:rsidR="001B3853" w:rsidRPr="00D74DEF">
        <w:rPr>
          <w:rFonts w:ascii="Times New Roman" w:hAnsi="Times New Roman" w:cs="Times New Roman"/>
          <w:sz w:val="24"/>
          <w:szCs w:val="24"/>
        </w:rPr>
        <w:t>7</w:t>
      </w:r>
      <w:r w:rsidRPr="00D74DEF">
        <w:rPr>
          <w:rFonts w:ascii="Times New Roman" w:hAnsi="Times New Roman" w:cs="Times New Roman"/>
          <w:sz w:val="24"/>
          <w:szCs w:val="24"/>
        </w:rPr>
        <w:t>月</w:t>
      </w:r>
      <w:r w:rsidR="00D15B61" w:rsidRPr="00D74DEF">
        <w:rPr>
          <w:rFonts w:ascii="Times New Roman" w:hAnsi="Times New Roman" w:cs="Times New Roman"/>
          <w:sz w:val="24"/>
          <w:szCs w:val="24"/>
        </w:rPr>
        <w:t>4</w:t>
      </w:r>
      <w:r w:rsidRPr="00D74DEF">
        <w:rPr>
          <w:rFonts w:ascii="Times New Roman" w:hAnsi="Times New Roman" w:cs="Times New Roman"/>
          <w:sz w:val="24"/>
          <w:szCs w:val="24"/>
        </w:rPr>
        <w:t>日</w:t>
      </w:r>
    </w:p>
    <w:bookmarkEnd w:id="0"/>
    <w:p w:rsidR="00AE68F9" w:rsidRPr="00D74DEF" w:rsidRDefault="00AE68F9">
      <w:pPr>
        <w:spacing w:line="360" w:lineRule="auto"/>
        <w:ind w:firstLineChars="201" w:firstLine="482"/>
        <w:jc w:val="right"/>
        <w:rPr>
          <w:rFonts w:ascii="Times New Roman" w:hAnsi="Times New Roman" w:cs="Times New Roman"/>
          <w:sz w:val="24"/>
          <w:szCs w:val="24"/>
        </w:rPr>
      </w:pPr>
    </w:p>
    <w:sectPr w:rsidR="00AE68F9" w:rsidRPr="00D74DEF" w:rsidSect="00AB0EE9">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7A" w:rsidRDefault="00610A7A">
      <w:r>
        <w:separator/>
      </w:r>
    </w:p>
  </w:endnote>
  <w:endnote w:type="continuationSeparator" w:id="0">
    <w:p w:rsidR="00610A7A" w:rsidRDefault="00610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Arial"/>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simsun">
    <w:altName w:val="Arial"/>
    <w:panose1 w:val="00000000000000000000"/>
    <w:charset w:val="00"/>
    <w:family w:val="roman"/>
    <w:notTrueType/>
    <w:pitch w:val="default"/>
    <w:sig w:usb0="00000003" w:usb1="00000000" w:usb2="00000000" w:usb3="00000000" w:csb0="00000001" w:csb1="00000000"/>
  </w:font>
  <w:font w:name="Microsoft JhengHei">
    <w:charset w:val="88"/>
    <w:family w:val="swiss"/>
    <w:pitch w:val="variable"/>
    <w:sig w:usb0="000002A7" w:usb1="28CF4400" w:usb2="00000016" w:usb3="00000000" w:csb0="00100009"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10229"/>
      <w:docPartObj>
        <w:docPartGallery w:val="Page Numbers (Bottom of Page)"/>
        <w:docPartUnique/>
      </w:docPartObj>
    </w:sdtPr>
    <w:sdtContent>
      <w:p w:rsidR="00AE68F9" w:rsidRDefault="00AB0EE9">
        <w:pPr>
          <w:pStyle w:val="a4"/>
          <w:jc w:val="center"/>
        </w:pPr>
        <w:r>
          <w:fldChar w:fldCharType="begin"/>
        </w:r>
        <w:r w:rsidR="004C6FE9">
          <w:instrText>PAGE   \* MERGEFORMAT</w:instrText>
        </w:r>
        <w:r>
          <w:fldChar w:fldCharType="separate"/>
        </w:r>
        <w:r w:rsidR="00DC794A" w:rsidRPr="00DC794A">
          <w:rPr>
            <w:noProof/>
            <w:lang w:val="zh-CN"/>
          </w:rPr>
          <w:t>1</w:t>
        </w:r>
        <w:r>
          <w:fldChar w:fldCharType="end"/>
        </w:r>
      </w:p>
    </w:sdtContent>
  </w:sdt>
  <w:p w:rsidR="00AE68F9" w:rsidRDefault="00AE68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7A" w:rsidRDefault="00610A7A">
      <w:r>
        <w:separator/>
      </w:r>
    </w:p>
  </w:footnote>
  <w:footnote w:type="continuationSeparator" w:id="0">
    <w:p w:rsidR="00610A7A" w:rsidRDefault="00610A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AE68F9"/>
    <w:rsid w:val="00003B91"/>
    <w:rsid w:val="00014BC6"/>
    <w:rsid w:val="00037306"/>
    <w:rsid w:val="0005723A"/>
    <w:rsid w:val="000A5C2A"/>
    <w:rsid w:val="001735D0"/>
    <w:rsid w:val="001817E3"/>
    <w:rsid w:val="001B3853"/>
    <w:rsid w:val="00250541"/>
    <w:rsid w:val="00280861"/>
    <w:rsid w:val="002F1A32"/>
    <w:rsid w:val="00312792"/>
    <w:rsid w:val="00347B9E"/>
    <w:rsid w:val="003B6496"/>
    <w:rsid w:val="004C6FE9"/>
    <w:rsid w:val="00610A7A"/>
    <w:rsid w:val="006B7F5E"/>
    <w:rsid w:val="00730939"/>
    <w:rsid w:val="007E10BF"/>
    <w:rsid w:val="007F557A"/>
    <w:rsid w:val="00977D85"/>
    <w:rsid w:val="00983950"/>
    <w:rsid w:val="00A3761D"/>
    <w:rsid w:val="00A97004"/>
    <w:rsid w:val="00AB0EE9"/>
    <w:rsid w:val="00AC4B7A"/>
    <w:rsid w:val="00AE68F9"/>
    <w:rsid w:val="00B7222F"/>
    <w:rsid w:val="00BA5BAF"/>
    <w:rsid w:val="00BB2A79"/>
    <w:rsid w:val="00BD58EB"/>
    <w:rsid w:val="00C0158F"/>
    <w:rsid w:val="00C10EA2"/>
    <w:rsid w:val="00C80D8F"/>
    <w:rsid w:val="00C919E4"/>
    <w:rsid w:val="00D15B61"/>
    <w:rsid w:val="00D74DEF"/>
    <w:rsid w:val="00DC79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0EE9"/>
    <w:pPr>
      <w:widowControl w:val="0"/>
      <w:jc w:val="both"/>
    </w:pPr>
    <w:rPr>
      <w:rFonts w:ascii="Calibri" w:hAnsi="Calibri" w:cs="Arial"/>
      <w:kern w:val="2"/>
      <w:sz w:val="21"/>
      <w:szCs w:val="22"/>
    </w:rPr>
  </w:style>
  <w:style w:type="paragraph" w:styleId="1">
    <w:name w:val="heading 1"/>
    <w:basedOn w:val="a"/>
    <w:next w:val="a"/>
    <w:rsid w:val="00AB0EE9"/>
    <w:pPr>
      <w:keepNext/>
      <w:keepLines/>
      <w:spacing w:before="340" w:after="330" w:line="578" w:lineRule="auto"/>
      <w:outlineLvl w:val="0"/>
    </w:pPr>
    <w:rPr>
      <w:b/>
      <w:bCs/>
      <w:kern w:val="44"/>
      <w:sz w:val="44"/>
    </w:rPr>
  </w:style>
  <w:style w:type="paragraph" w:styleId="2">
    <w:name w:val="heading 2"/>
    <w:basedOn w:val="a"/>
    <w:next w:val="a"/>
    <w:rsid w:val="00AB0EE9"/>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AB0EE9"/>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0EE9"/>
    <w:pPr>
      <w:pBdr>
        <w:bottom w:val="single" w:sz="6" w:space="1" w:color="auto"/>
      </w:pBdr>
      <w:tabs>
        <w:tab w:val="center" w:pos="4153"/>
        <w:tab w:val="right" w:pos="8306"/>
      </w:tabs>
      <w:snapToGrid w:val="0"/>
      <w:jc w:val="center"/>
    </w:pPr>
    <w:rPr>
      <w:sz w:val="18"/>
      <w:szCs w:val="18"/>
    </w:rPr>
  </w:style>
  <w:style w:type="paragraph" w:styleId="a4">
    <w:name w:val="footer"/>
    <w:basedOn w:val="a"/>
    <w:rsid w:val="00AB0EE9"/>
    <w:pPr>
      <w:tabs>
        <w:tab w:val="center" w:pos="4153"/>
        <w:tab w:val="right" w:pos="8306"/>
      </w:tabs>
      <w:snapToGrid w:val="0"/>
      <w:jc w:val="left"/>
    </w:pPr>
    <w:rPr>
      <w:sz w:val="18"/>
      <w:szCs w:val="18"/>
    </w:rPr>
  </w:style>
  <w:style w:type="character" w:styleId="a5">
    <w:name w:val="annotation reference"/>
    <w:basedOn w:val="a0"/>
    <w:rsid w:val="00AB0EE9"/>
    <w:rPr>
      <w:sz w:val="21"/>
      <w:szCs w:val="21"/>
    </w:rPr>
  </w:style>
  <w:style w:type="paragraph" w:styleId="a6">
    <w:name w:val="annotation text"/>
    <w:basedOn w:val="a"/>
    <w:rsid w:val="00AB0EE9"/>
    <w:pPr>
      <w:jc w:val="left"/>
    </w:pPr>
  </w:style>
  <w:style w:type="paragraph" w:styleId="a7">
    <w:name w:val="annotation subject"/>
    <w:basedOn w:val="a6"/>
    <w:next w:val="a6"/>
    <w:rsid w:val="00AB0EE9"/>
    <w:rPr>
      <w:b/>
      <w:bCs/>
    </w:rPr>
  </w:style>
  <w:style w:type="paragraph" w:styleId="a8">
    <w:name w:val="Balloon Text"/>
    <w:basedOn w:val="a"/>
    <w:rsid w:val="00AB0EE9"/>
    <w:rPr>
      <w:sz w:val="18"/>
      <w:szCs w:val="18"/>
    </w:rPr>
  </w:style>
  <w:style w:type="paragraph" w:customStyle="1" w:styleId="10">
    <w:name w:val="修订1"/>
    <w:rsid w:val="00AB0EE9"/>
    <w:rPr>
      <w:rFonts w:ascii="Calibri" w:hAnsi="Calibri" w:cs="Arial"/>
      <w:kern w:val="2"/>
      <w:sz w:val="21"/>
      <w:szCs w:val="22"/>
    </w:rPr>
  </w:style>
  <w:style w:type="paragraph" w:customStyle="1" w:styleId="Default">
    <w:name w:val="Default"/>
    <w:rsid w:val="00AB0EE9"/>
    <w:pPr>
      <w:widowControl w:val="0"/>
      <w:autoSpaceDE w:val="0"/>
      <w:autoSpaceDN w:val="0"/>
      <w:adjustRightInd w:val="0"/>
    </w:pPr>
    <w:rPr>
      <w:rFonts w:ascii="simsun" w:hAnsi="simsun" w:cs="simsun"/>
      <w:color w:val="000000"/>
      <w:sz w:val="24"/>
      <w:szCs w:val="24"/>
    </w:rPr>
  </w:style>
  <w:style w:type="paragraph" w:styleId="11">
    <w:name w:val="toc 1"/>
    <w:basedOn w:val="a"/>
    <w:next w:val="a"/>
    <w:autoRedefine/>
    <w:rsid w:val="00AB0EE9"/>
  </w:style>
  <w:style w:type="paragraph" w:styleId="20">
    <w:name w:val="toc 2"/>
    <w:basedOn w:val="a"/>
    <w:next w:val="a"/>
    <w:autoRedefine/>
    <w:rsid w:val="00AB0EE9"/>
    <w:pPr>
      <w:ind w:left="420"/>
    </w:pPr>
  </w:style>
  <w:style w:type="paragraph" w:styleId="30">
    <w:name w:val="toc 3"/>
    <w:basedOn w:val="a"/>
    <w:next w:val="a"/>
    <w:autoRedefine/>
    <w:rsid w:val="00AB0EE9"/>
    <w:pPr>
      <w:ind w:left="840"/>
    </w:pPr>
  </w:style>
  <w:style w:type="paragraph" w:styleId="4">
    <w:name w:val="toc 4"/>
    <w:basedOn w:val="a"/>
    <w:next w:val="a"/>
    <w:autoRedefine/>
    <w:rsid w:val="00AB0EE9"/>
    <w:pPr>
      <w:ind w:left="1260"/>
    </w:pPr>
  </w:style>
  <w:style w:type="paragraph" w:styleId="5">
    <w:name w:val="toc 5"/>
    <w:basedOn w:val="a"/>
    <w:next w:val="a"/>
    <w:autoRedefine/>
    <w:rsid w:val="00AB0EE9"/>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2315</Characters>
  <Application>Microsoft Office Word</Application>
  <DocSecurity>4</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肖志伟</dc:creator>
  <cp:lastModifiedBy>ZHONGM</cp:lastModifiedBy>
  <cp:revision>2</cp:revision>
  <dcterms:created xsi:type="dcterms:W3CDTF">2022-07-03T16:00:00Z</dcterms:created>
  <dcterms:modified xsi:type="dcterms:W3CDTF">2022-07-03T16:00:00Z</dcterms:modified>
</cp:coreProperties>
</file>