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EF" w:rsidRPr="000E6D8F" w:rsidRDefault="00D53258" w:rsidP="002822AE">
      <w:pPr>
        <w:spacing w:beforeAutospacing="0" w:afterLines="50" w:afterAutospacing="0" w:line="360" w:lineRule="auto"/>
        <w:ind w:rightChars="0" w:right="0"/>
        <w:contextualSpacing/>
        <w:jc w:val="center"/>
        <w:rPr>
          <w:rFonts w:asciiTheme="minorEastAsia" w:hAnsiTheme="minorEastAsia" w:cs="Microsoft JhengHei"/>
          <w:b/>
          <w:w w:val="99"/>
          <w:sz w:val="24"/>
          <w:szCs w:val="24"/>
          <w:lang w:eastAsia="zh-CN"/>
        </w:rPr>
      </w:pPr>
      <w:r w:rsidRPr="00D53258">
        <w:rPr>
          <w:rFonts w:asciiTheme="minorEastAsia" w:hAnsiTheme="minorEastAsia" w:cs="Microsoft JhengHei" w:hint="eastAsia"/>
          <w:b/>
          <w:spacing w:val="6"/>
          <w:w w:val="99"/>
          <w:sz w:val="24"/>
          <w:szCs w:val="24"/>
          <w:lang w:eastAsia="zh-CN"/>
        </w:rPr>
        <w:t>凯石</w:t>
      </w:r>
      <w:r w:rsidR="005749C7">
        <w:rPr>
          <w:rFonts w:asciiTheme="minorEastAsia" w:hAnsiTheme="minorEastAsia" w:cs="Microsoft JhengHei" w:hint="eastAsia"/>
          <w:b/>
          <w:spacing w:val="6"/>
          <w:w w:val="99"/>
          <w:sz w:val="24"/>
          <w:szCs w:val="24"/>
          <w:lang w:eastAsia="zh-CN"/>
        </w:rPr>
        <w:t>湛</w:t>
      </w:r>
      <w:r w:rsidRPr="00D53258">
        <w:rPr>
          <w:rFonts w:asciiTheme="minorEastAsia" w:hAnsiTheme="minorEastAsia" w:cs="Microsoft JhengHei" w:hint="eastAsia"/>
          <w:b/>
          <w:spacing w:val="6"/>
          <w:w w:val="99"/>
          <w:sz w:val="24"/>
          <w:szCs w:val="24"/>
          <w:lang w:eastAsia="zh-CN"/>
        </w:rPr>
        <w:t>混合型证券投资基金</w:t>
      </w:r>
      <w:r w:rsidR="006C0CBF">
        <w:rPr>
          <w:rFonts w:asciiTheme="minorEastAsia" w:hAnsiTheme="minorEastAsia" w:cs="Microsoft JhengHei" w:hint="eastAsia"/>
          <w:b/>
          <w:spacing w:val="6"/>
          <w:w w:val="99"/>
          <w:sz w:val="24"/>
          <w:szCs w:val="24"/>
          <w:lang w:eastAsia="zh-CN"/>
        </w:rPr>
        <w:t>第二次</w:t>
      </w:r>
      <w:r w:rsidR="005D1EEF" w:rsidRPr="000E6D8F">
        <w:rPr>
          <w:rFonts w:asciiTheme="minorEastAsia" w:hAnsiTheme="minorEastAsia" w:cs="Microsoft JhengHei" w:hint="eastAsia"/>
          <w:b/>
          <w:spacing w:val="2"/>
          <w:w w:val="99"/>
          <w:sz w:val="24"/>
          <w:szCs w:val="24"/>
          <w:lang w:eastAsia="zh-CN"/>
        </w:rPr>
        <w:t>清</w:t>
      </w:r>
      <w:r w:rsidR="005D1EEF" w:rsidRPr="000E6D8F">
        <w:rPr>
          <w:rFonts w:asciiTheme="minorEastAsia" w:hAnsiTheme="minorEastAsia" w:cs="Microsoft JhengHei" w:hint="eastAsia"/>
          <w:b/>
          <w:w w:val="99"/>
          <w:sz w:val="24"/>
          <w:szCs w:val="24"/>
          <w:lang w:eastAsia="zh-CN"/>
        </w:rPr>
        <w:t>算</w:t>
      </w:r>
      <w:r w:rsidR="005D1EEF" w:rsidRPr="000E6D8F">
        <w:rPr>
          <w:rFonts w:asciiTheme="minorEastAsia" w:hAnsiTheme="minorEastAsia" w:cs="Microsoft JhengHei" w:hint="eastAsia"/>
          <w:b/>
          <w:spacing w:val="2"/>
          <w:w w:val="99"/>
          <w:sz w:val="24"/>
          <w:szCs w:val="24"/>
          <w:lang w:eastAsia="zh-CN"/>
        </w:rPr>
        <w:t>报</w:t>
      </w:r>
      <w:r w:rsidR="005D1EEF" w:rsidRPr="000E6D8F">
        <w:rPr>
          <w:rFonts w:asciiTheme="minorEastAsia" w:hAnsiTheme="minorEastAsia" w:cs="Microsoft JhengHei" w:hint="eastAsia"/>
          <w:b/>
          <w:w w:val="99"/>
          <w:sz w:val="24"/>
          <w:szCs w:val="24"/>
          <w:lang w:eastAsia="zh-CN"/>
        </w:rPr>
        <w:t>告提示性公告</w:t>
      </w:r>
    </w:p>
    <w:p w:rsidR="000E6D8F" w:rsidRDefault="000E6D8F" w:rsidP="000E6D8F">
      <w:pPr>
        <w:spacing w:beforeAutospacing="0" w:afterAutospacing="0"/>
        <w:ind w:rightChars="0" w:right="0" w:firstLineChars="200" w:firstLine="421"/>
        <w:contextualSpacing/>
        <w:rPr>
          <w:rFonts w:asciiTheme="minorEastAsia" w:hAnsiTheme="minorEastAsia" w:cs="Microsoft JhengHei"/>
          <w:spacing w:val="2"/>
          <w:w w:val="99"/>
          <w:sz w:val="21"/>
          <w:szCs w:val="21"/>
          <w:lang w:eastAsia="zh-CN"/>
        </w:rPr>
      </w:pPr>
    </w:p>
    <w:p w:rsidR="005D1EEF" w:rsidRPr="000E6D8F" w:rsidRDefault="00D53258" w:rsidP="00D53258">
      <w:pPr>
        <w:spacing w:beforeAutospacing="0" w:afterAutospacing="0" w:line="360" w:lineRule="auto"/>
        <w:ind w:rightChars="0" w:right="0" w:firstLineChars="200" w:firstLine="437"/>
        <w:contextualSpacing/>
        <w:rPr>
          <w:rFonts w:asciiTheme="minorEastAsia" w:hAnsiTheme="minorEastAsia" w:cs="Arial"/>
          <w:sz w:val="21"/>
          <w:szCs w:val="21"/>
          <w:lang w:eastAsia="zh-CN"/>
        </w:rPr>
      </w:pPr>
      <w:r w:rsidRPr="00D53258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凯石</w:t>
      </w:r>
      <w:r w:rsidR="005749C7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湛</w:t>
      </w:r>
      <w:r w:rsidRPr="00D53258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混合型证券投资基金</w:t>
      </w:r>
      <w:r w:rsidR="005749C7" w:rsidRPr="005749C7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自2022年1月17日起进入清算期</w:t>
      </w:r>
      <w:bookmarkStart w:id="0" w:name="_GoBack"/>
      <w:bookmarkEnd w:id="0"/>
      <w:r w:rsidR="005D1EEF"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。</w:t>
      </w:r>
      <w:r w:rsidR="006C0CB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第二次</w:t>
      </w:r>
      <w:r w:rsidR="005D1EEF"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清算报告全文于20</w:t>
      </w:r>
      <w:r w:rsidR="005749C7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22</w:t>
      </w:r>
      <w:r w:rsidR="005D1EEF"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年</w:t>
      </w:r>
      <w:r w:rsidR="005749C7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7</w:t>
      </w:r>
      <w:r w:rsidR="005D1EEF"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月</w:t>
      </w:r>
      <w:r w:rsidR="006C0CB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1</w:t>
      </w:r>
      <w:r w:rsidR="005D1EEF"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日在本公司</w:t>
      </w:r>
      <w:r w:rsidR="000E6D8F" w:rsidRPr="000E6D8F">
        <w:rPr>
          <w:rFonts w:asciiTheme="minorEastAsia" w:hAnsiTheme="minorEastAsia" w:cs="Microsoft JhengHei" w:hint="eastAsia"/>
          <w:spacing w:val="6"/>
          <w:w w:val="99"/>
          <w:sz w:val="21"/>
          <w:szCs w:val="21"/>
          <w:lang w:eastAsia="zh-CN"/>
        </w:rPr>
        <w:t>网站</w:t>
      </w:r>
      <w:r w:rsidR="000E6D8F" w:rsidRPr="000E6D8F">
        <w:rPr>
          <w:rFonts w:asciiTheme="minorEastAsia" w:hAnsiTheme="minorEastAsia" w:cs="宋体" w:hint="eastAsia"/>
          <w:sz w:val="21"/>
          <w:szCs w:val="21"/>
          <w:lang w:eastAsia="zh-CN"/>
        </w:rPr>
        <w:t>（</w:t>
      </w:r>
      <w:r w:rsidR="000E6D8F" w:rsidRPr="000E6D8F">
        <w:rPr>
          <w:rFonts w:asciiTheme="minorEastAsia" w:hAnsiTheme="minorEastAsia" w:cs="Arial" w:hint="eastAsia"/>
          <w:sz w:val="21"/>
          <w:szCs w:val="21"/>
          <w:lang w:eastAsia="zh-CN"/>
        </w:rPr>
        <w:t>www.vstonefund.com</w:t>
      </w:r>
      <w:r w:rsidR="000E6D8F" w:rsidRPr="000E6D8F">
        <w:rPr>
          <w:rFonts w:asciiTheme="minorEastAsia" w:hAnsiTheme="minorEastAsia" w:cs="宋体" w:hint="eastAsia"/>
          <w:sz w:val="21"/>
          <w:szCs w:val="21"/>
          <w:lang w:eastAsia="zh-CN"/>
        </w:rPr>
        <w:t>）和中国证监会基金电子披露网站（http://eid.csrc.gov/fund）披露，供投资者查阅。如有疑问可拨打本公司客服电话（</w:t>
      </w:r>
      <w:r w:rsidR="000E6D8F" w:rsidRPr="000E6D8F">
        <w:rPr>
          <w:rFonts w:asciiTheme="minorEastAsia" w:hAnsiTheme="minorEastAsia" w:cs="Arial" w:hint="eastAsia"/>
          <w:sz w:val="21"/>
          <w:szCs w:val="21"/>
          <w:lang w:eastAsia="zh-CN"/>
        </w:rPr>
        <w:t>021-60431122）咨询。</w:t>
      </w:r>
    </w:p>
    <w:p w:rsidR="000E6D8F" w:rsidRPr="000E6D8F" w:rsidRDefault="000E6D8F" w:rsidP="000E6D8F">
      <w:pPr>
        <w:spacing w:beforeAutospacing="0" w:afterAutospacing="0" w:line="360" w:lineRule="auto"/>
        <w:ind w:rightChars="0" w:right="0" w:firstLineChars="200" w:firstLine="420"/>
        <w:contextualSpacing/>
        <w:rPr>
          <w:rFonts w:asciiTheme="minorEastAsia" w:hAnsiTheme="minorEastAsia" w:cs="Arial"/>
          <w:sz w:val="21"/>
          <w:szCs w:val="21"/>
          <w:lang w:eastAsia="zh-CN"/>
        </w:rPr>
      </w:pPr>
      <w:r w:rsidRPr="000E6D8F">
        <w:rPr>
          <w:rFonts w:asciiTheme="minorEastAsia" w:hAnsiTheme="minorEastAsia" w:cs="Arial" w:hint="eastAsia"/>
          <w:sz w:val="21"/>
          <w:szCs w:val="21"/>
          <w:lang w:eastAsia="zh-CN"/>
        </w:rPr>
        <w:t>特此公告。</w:t>
      </w:r>
    </w:p>
    <w:p w:rsidR="000E6D8F" w:rsidRDefault="000E6D8F" w:rsidP="000E6D8F">
      <w:pPr>
        <w:spacing w:beforeAutospacing="0" w:afterAutospacing="0" w:line="360" w:lineRule="auto"/>
        <w:ind w:rightChars="0" w:right="0"/>
        <w:contextualSpacing/>
        <w:rPr>
          <w:rFonts w:asciiTheme="minorEastAsia" w:hAnsiTheme="minorEastAsia" w:cs="Arial"/>
          <w:sz w:val="21"/>
          <w:szCs w:val="21"/>
          <w:lang w:eastAsia="zh-CN"/>
        </w:rPr>
      </w:pPr>
    </w:p>
    <w:p w:rsidR="000E6D8F" w:rsidRDefault="000E6D8F" w:rsidP="000E6D8F">
      <w:pPr>
        <w:spacing w:beforeAutospacing="0" w:afterAutospacing="0" w:line="360" w:lineRule="auto"/>
        <w:ind w:rightChars="0" w:right="0"/>
        <w:contextualSpacing/>
        <w:rPr>
          <w:rFonts w:asciiTheme="minorEastAsia" w:hAnsiTheme="minorEastAsia" w:cs="Arial"/>
          <w:sz w:val="21"/>
          <w:szCs w:val="21"/>
          <w:lang w:eastAsia="zh-CN"/>
        </w:rPr>
      </w:pPr>
    </w:p>
    <w:p w:rsidR="000E6D8F" w:rsidRDefault="000E6D8F" w:rsidP="000E6D8F">
      <w:pPr>
        <w:spacing w:beforeAutospacing="0" w:afterAutospacing="0" w:line="360" w:lineRule="auto"/>
        <w:ind w:rightChars="0" w:right="0"/>
        <w:contextualSpacing/>
        <w:jc w:val="right"/>
        <w:rPr>
          <w:rFonts w:asciiTheme="minorEastAsia" w:hAnsiTheme="minorEastAsia" w:cs="Arial"/>
          <w:sz w:val="21"/>
          <w:szCs w:val="21"/>
          <w:lang w:eastAsia="zh-CN"/>
        </w:rPr>
      </w:pPr>
      <w:r>
        <w:rPr>
          <w:rFonts w:asciiTheme="minorEastAsia" w:hAnsiTheme="minorEastAsia" w:cs="Arial" w:hint="eastAsia"/>
          <w:sz w:val="21"/>
          <w:szCs w:val="21"/>
          <w:lang w:eastAsia="zh-CN"/>
        </w:rPr>
        <w:t>凯石基金管理有限公司</w:t>
      </w:r>
    </w:p>
    <w:p w:rsidR="000E6D8F" w:rsidRPr="000E6D8F" w:rsidRDefault="000E6D8F" w:rsidP="005749C7">
      <w:pPr>
        <w:spacing w:beforeAutospacing="0" w:afterAutospacing="0" w:line="360" w:lineRule="auto"/>
        <w:ind w:rightChars="0" w:right="210"/>
        <w:contextualSpacing/>
        <w:jc w:val="right"/>
        <w:rPr>
          <w:rFonts w:asciiTheme="minorEastAsia" w:hAnsiTheme="minorEastAsia" w:cs="Arial"/>
          <w:sz w:val="21"/>
          <w:szCs w:val="21"/>
          <w:lang w:eastAsia="zh-CN"/>
        </w:rPr>
      </w:pPr>
      <w:r>
        <w:rPr>
          <w:rFonts w:asciiTheme="minorEastAsia" w:hAnsiTheme="minorEastAsia" w:cs="Arial" w:hint="eastAsia"/>
          <w:sz w:val="21"/>
          <w:szCs w:val="21"/>
          <w:lang w:eastAsia="zh-CN"/>
        </w:rPr>
        <w:t>202</w:t>
      </w:r>
      <w:r w:rsidR="005749C7">
        <w:rPr>
          <w:rFonts w:asciiTheme="minorEastAsia" w:hAnsiTheme="minorEastAsia" w:cs="Arial" w:hint="eastAsia"/>
          <w:sz w:val="21"/>
          <w:szCs w:val="21"/>
          <w:lang w:eastAsia="zh-CN"/>
        </w:rPr>
        <w:t>2</w:t>
      </w:r>
      <w:r>
        <w:rPr>
          <w:rFonts w:asciiTheme="minorEastAsia" w:hAnsiTheme="minorEastAsia" w:cs="Arial" w:hint="eastAsia"/>
          <w:sz w:val="21"/>
          <w:szCs w:val="21"/>
          <w:lang w:eastAsia="zh-CN"/>
        </w:rPr>
        <w:t>年</w:t>
      </w:r>
      <w:r w:rsidR="005749C7">
        <w:rPr>
          <w:rFonts w:asciiTheme="minorEastAsia" w:hAnsiTheme="minorEastAsia" w:cs="Arial" w:hint="eastAsia"/>
          <w:sz w:val="21"/>
          <w:szCs w:val="21"/>
          <w:lang w:eastAsia="zh-CN"/>
        </w:rPr>
        <w:t>7</w:t>
      </w:r>
      <w:r>
        <w:rPr>
          <w:rFonts w:asciiTheme="minorEastAsia" w:hAnsiTheme="minorEastAsia" w:cs="Arial" w:hint="eastAsia"/>
          <w:sz w:val="21"/>
          <w:szCs w:val="21"/>
          <w:lang w:eastAsia="zh-CN"/>
        </w:rPr>
        <w:t>月</w:t>
      </w:r>
      <w:r w:rsidR="006C0CBF">
        <w:rPr>
          <w:rFonts w:asciiTheme="minorEastAsia" w:hAnsiTheme="minorEastAsia" w:cs="Arial" w:hint="eastAsia"/>
          <w:sz w:val="21"/>
          <w:szCs w:val="21"/>
          <w:lang w:eastAsia="zh-CN"/>
        </w:rPr>
        <w:t>1</w:t>
      </w:r>
      <w:r>
        <w:rPr>
          <w:rFonts w:asciiTheme="minorEastAsia" w:hAnsiTheme="minorEastAsia" w:cs="Arial" w:hint="eastAsia"/>
          <w:sz w:val="21"/>
          <w:szCs w:val="21"/>
          <w:lang w:eastAsia="zh-CN"/>
        </w:rPr>
        <w:t>日</w:t>
      </w:r>
    </w:p>
    <w:p w:rsidR="000E6D8F" w:rsidRPr="005D1EEF" w:rsidRDefault="000E6D8F" w:rsidP="000E6D8F">
      <w:pPr>
        <w:spacing w:beforeAutospacing="0" w:afterAutospacing="0" w:line="360" w:lineRule="auto"/>
        <w:ind w:right="-110"/>
        <w:contextualSpacing/>
        <w:rPr>
          <w:rFonts w:ascii="宋体" w:eastAsia="宋体" w:hAnsi="宋体" w:cs="Microsoft JhengHei"/>
          <w:spacing w:val="6"/>
          <w:w w:val="99"/>
          <w:sz w:val="21"/>
          <w:szCs w:val="21"/>
          <w:lang w:eastAsia="zh-CN"/>
        </w:rPr>
      </w:pPr>
    </w:p>
    <w:sectPr w:rsidR="000E6D8F" w:rsidRPr="005D1EEF" w:rsidSect="00A05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2C" w:rsidRDefault="00623A2C" w:rsidP="00623A2C">
      <w:pPr>
        <w:ind w:right="-110"/>
      </w:pPr>
      <w:r>
        <w:separator/>
      </w:r>
    </w:p>
  </w:endnote>
  <w:endnote w:type="continuationSeparator" w:id="0">
    <w:p w:rsidR="00623A2C" w:rsidRDefault="00623A2C" w:rsidP="00623A2C">
      <w:pPr>
        <w:ind w:right="-1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4"/>
      <w:ind w:right="-1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4"/>
      <w:ind w:right="-1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4"/>
      <w:ind w:right="-1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2C" w:rsidRDefault="00623A2C" w:rsidP="00623A2C">
      <w:pPr>
        <w:ind w:right="-110"/>
      </w:pPr>
      <w:r>
        <w:separator/>
      </w:r>
    </w:p>
  </w:footnote>
  <w:footnote w:type="continuationSeparator" w:id="0">
    <w:p w:rsidR="00623A2C" w:rsidRDefault="00623A2C" w:rsidP="00623A2C">
      <w:pPr>
        <w:ind w:right="-1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3"/>
      <w:ind w:right="-1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3"/>
      <w:ind w:right="-1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2C" w:rsidRDefault="00623A2C" w:rsidP="00623A2C">
    <w:pPr>
      <w:pStyle w:val="a3"/>
      <w:ind w:right="-1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EEF"/>
    <w:rsid w:val="000E6D8F"/>
    <w:rsid w:val="002822AE"/>
    <w:rsid w:val="004F537E"/>
    <w:rsid w:val="005749C7"/>
    <w:rsid w:val="005D1EEF"/>
    <w:rsid w:val="00623A2C"/>
    <w:rsid w:val="006C0CBF"/>
    <w:rsid w:val="00A05224"/>
    <w:rsid w:val="00B84DE0"/>
    <w:rsid w:val="00BB2333"/>
    <w:rsid w:val="00D5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EF"/>
    <w:pPr>
      <w:spacing w:beforeAutospacing="1" w:afterAutospacing="1"/>
      <w:ind w:rightChars="-50" w:right="-5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A2C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623A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A2C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EF"/>
    <w:pPr>
      <w:spacing w:beforeAutospacing="1" w:afterAutospacing="1"/>
      <w:ind w:rightChars="-50" w:right="-5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A2C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623A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A2C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4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在线报送系统</dc:creator>
  <cp:lastModifiedBy>ZHONGM</cp:lastModifiedBy>
  <cp:revision>2</cp:revision>
  <dcterms:created xsi:type="dcterms:W3CDTF">2022-06-30T16:02:00Z</dcterms:created>
  <dcterms:modified xsi:type="dcterms:W3CDTF">2022-06-30T16:02:00Z</dcterms:modified>
</cp:coreProperties>
</file>