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EC" w:rsidRDefault="00F17D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宋体" w:hAnsi="宋体" w:cs="宋体"/>
          <w:b/>
          <w:bCs/>
          <w:color w:val="000000"/>
          <w:kern w:val="36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安信基金管理有限责任公司关于旗下部分开放式</w:t>
      </w:r>
      <w:r w:rsidR="0041533E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基金</w:t>
      </w:r>
      <w:r w:rsidR="007C5291" w:rsidRPr="007C5291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新增</w:t>
      </w:r>
      <w:r w:rsidR="00FC5BBD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九州</w:t>
      </w:r>
      <w:r w:rsidR="002B2073" w:rsidRPr="002B2073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证券股份有限公司</w:t>
      </w:r>
      <w:r w:rsidR="007C5291" w:rsidRPr="007C5291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为基金销售服务机构的公告</w:t>
      </w:r>
    </w:p>
    <w:p w:rsidR="00DE30EC" w:rsidRPr="002B2073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</w:pPr>
    </w:p>
    <w:p w:rsidR="00DE30EC" w:rsidRDefault="00E82F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根据安信基金管理有限责任公司</w:t>
      </w:r>
      <w:r w:rsidR="00996DE6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以下简称“本公司”)与</w:t>
      </w:r>
      <w:r w:rsidR="00FC5BBD">
        <w:rPr>
          <w:rFonts w:ascii="宋体" w:hAnsi="宋体" w:cs="宋体" w:hint="eastAsia"/>
          <w:color w:val="000000"/>
          <w:kern w:val="0"/>
          <w:sz w:val="24"/>
          <w:szCs w:val="24"/>
        </w:rPr>
        <w:t>九州</w:t>
      </w:r>
      <w:r w:rsidR="002B2073">
        <w:rPr>
          <w:rFonts w:ascii="宋体" w:hAnsi="宋体" w:cs="宋体" w:hint="eastAsia"/>
          <w:color w:val="000000"/>
          <w:kern w:val="0"/>
          <w:sz w:val="24"/>
          <w:szCs w:val="24"/>
        </w:rPr>
        <w:t>证券股份有限公司</w:t>
      </w:r>
      <w:r w:rsidR="0041533E">
        <w:rPr>
          <w:rFonts w:ascii="宋体" w:hAnsi="宋体" w:cs="宋体" w:hint="eastAsia"/>
          <w:color w:val="000000"/>
          <w:kern w:val="0"/>
          <w:sz w:val="24"/>
          <w:szCs w:val="24"/>
        </w:rPr>
        <w:t>（以下简称“</w:t>
      </w:r>
      <w:r w:rsidR="00FC5BBD">
        <w:rPr>
          <w:rFonts w:ascii="宋体" w:hAnsi="宋体" w:cs="宋体" w:hint="eastAsia"/>
          <w:color w:val="000000"/>
          <w:kern w:val="0"/>
          <w:sz w:val="24"/>
          <w:szCs w:val="24"/>
        </w:rPr>
        <w:t>九州</w:t>
      </w:r>
      <w:r w:rsidR="002B2073">
        <w:rPr>
          <w:rFonts w:ascii="宋体" w:hAnsi="宋体" w:cs="宋体" w:hint="eastAsia"/>
          <w:color w:val="000000"/>
          <w:kern w:val="0"/>
          <w:sz w:val="24"/>
          <w:szCs w:val="24"/>
        </w:rPr>
        <w:t>证券</w:t>
      </w:r>
      <w:r w:rsidR="0041533E">
        <w:rPr>
          <w:rFonts w:ascii="宋体" w:hAnsi="宋体" w:cs="宋体" w:hint="eastAsia"/>
          <w:color w:val="000000"/>
          <w:kern w:val="0"/>
          <w:sz w:val="24"/>
          <w:szCs w:val="24"/>
        </w:rPr>
        <w:t>”）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签署的</w:t>
      </w:r>
      <w:r w:rsidR="005D4CE1">
        <w:rPr>
          <w:rFonts w:ascii="宋体" w:hAnsi="宋体" w:cs="宋体" w:hint="eastAsia"/>
          <w:color w:val="000000"/>
          <w:kern w:val="0"/>
          <w:sz w:val="24"/>
          <w:szCs w:val="24"/>
        </w:rPr>
        <w:t>销售</w:t>
      </w:r>
      <w:r w:rsidR="00937722">
        <w:rPr>
          <w:rFonts w:ascii="宋体" w:hAnsi="宋体" w:cs="宋体" w:hint="eastAsia"/>
          <w:color w:val="000000"/>
          <w:kern w:val="0"/>
          <w:sz w:val="24"/>
          <w:szCs w:val="24"/>
        </w:rPr>
        <w:t>服务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协议，本公司决定新增</w:t>
      </w:r>
      <w:r w:rsidR="00FC5BBD">
        <w:rPr>
          <w:rFonts w:ascii="宋体" w:hAnsi="宋体" w:cs="宋体" w:hint="eastAsia"/>
          <w:color w:val="000000"/>
          <w:kern w:val="0"/>
          <w:sz w:val="24"/>
          <w:szCs w:val="24"/>
        </w:rPr>
        <w:t>九州</w:t>
      </w:r>
      <w:r w:rsidR="002B2073">
        <w:rPr>
          <w:rFonts w:ascii="宋体" w:hAnsi="宋体" w:cs="宋体" w:hint="eastAsia"/>
          <w:color w:val="000000"/>
          <w:kern w:val="0"/>
          <w:sz w:val="24"/>
          <w:szCs w:val="24"/>
        </w:rPr>
        <w:t>证券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为</w:t>
      </w:r>
      <w:r w:rsidR="00F17D87">
        <w:rPr>
          <w:rFonts w:ascii="宋体" w:hAnsi="宋体" w:cs="Calibri" w:hint="eastAsia"/>
          <w:color w:val="000000"/>
          <w:kern w:val="0"/>
          <w:sz w:val="24"/>
          <w:szCs w:val="24"/>
        </w:rPr>
        <w:t>旗下部分开放式</w:t>
      </w:r>
      <w:r w:rsidR="009F0A66">
        <w:rPr>
          <w:rFonts w:ascii="宋体" w:hAnsi="宋体" w:cs="宋体" w:hint="eastAsia"/>
          <w:color w:val="000000"/>
          <w:kern w:val="0"/>
          <w:sz w:val="24"/>
          <w:szCs w:val="24"/>
        </w:rPr>
        <w:t>基金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的销售服务机构。投资者自202</w:t>
      </w:r>
      <w:r w:rsidR="00164506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2B2073">
        <w:rPr>
          <w:rFonts w:ascii="宋体" w:hAnsi="宋体" w:cs="宋体"/>
          <w:color w:val="000000"/>
          <w:kern w:val="0"/>
          <w:sz w:val="24"/>
          <w:szCs w:val="24"/>
        </w:rPr>
        <w:t>6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1A5C18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="005042ED">
        <w:rPr>
          <w:rFonts w:ascii="宋体" w:hAnsi="宋体" w:cs="宋体"/>
          <w:color w:val="000000"/>
          <w:kern w:val="0"/>
          <w:sz w:val="24"/>
          <w:szCs w:val="24"/>
        </w:rPr>
        <w:t>7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日起可在</w:t>
      </w:r>
      <w:r w:rsidR="00FC5BBD">
        <w:rPr>
          <w:rFonts w:ascii="宋体" w:hAnsi="宋体" w:cs="宋体" w:hint="eastAsia"/>
          <w:color w:val="000000"/>
          <w:kern w:val="0"/>
          <w:sz w:val="24"/>
          <w:szCs w:val="24"/>
        </w:rPr>
        <w:t>九州</w:t>
      </w:r>
      <w:r w:rsidR="002B2073">
        <w:rPr>
          <w:rFonts w:ascii="宋体" w:hAnsi="宋体" w:cs="宋体" w:hint="eastAsia"/>
          <w:color w:val="000000"/>
          <w:kern w:val="0"/>
          <w:sz w:val="24"/>
          <w:szCs w:val="24"/>
        </w:rPr>
        <w:t>证券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办理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上述基金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的开户、申购、赎回、定期定额投资</w:t>
      </w:r>
      <w:r w:rsidR="008A60D1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8A60D1">
        <w:rPr>
          <w:rFonts w:ascii="宋体" w:hAnsi="宋体" w:cs="宋体"/>
          <w:color w:val="000000"/>
          <w:kern w:val="0"/>
          <w:sz w:val="24"/>
          <w:szCs w:val="24"/>
        </w:rPr>
        <w:t>转换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等业务。如上述基金尚未开放、暂停办理对应业务或对其进行限制的，请遵照相关公告执行。</w:t>
      </w:r>
      <w:r w:rsidR="00DE30EC">
        <w:rPr>
          <w:rFonts w:ascii="宋体" w:hAnsi="宋体" w:cs="宋体"/>
          <w:color w:val="000000"/>
          <w:kern w:val="0"/>
          <w:sz w:val="24"/>
          <w:szCs w:val="24"/>
        </w:rPr>
        <w:cr/>
      </w:r>
    </w:p>
    <w:p w:rsidR="006E7EFC" w:rsidRDefault="00DE30EC" w:rsidP="006E7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一、适用基金：</w:t>
      </w:r>
      <w:r w:rsidR="006E7EFC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tbl>
      <w:tblPr>
        <w:tblW w:w="5449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7415"/>
        <w:gridCol w:w="1176"/>
      </w:tblGrid>
      <w:tr w:rsidR="005B1FA6" w:rsidRPr="00D43341" w:rsidTr="00DC0AA2">
        <w:trPr>
          <w:trHeight w:val="567"/>
          <w:tblHeader/>
          <w:jc w:val="center"/>
        </w:trPr>
        <w:tc>
          <w:tcPr>
            <w:tcW w:w="375" w:type="pct"/>
            <w:shd w:val="clear" w:color="auto" w:fill="auto"/>
            <w:noWrap/>
            <w:vAlign w:val="center"/>
            <w:hideMark/>
          </w:tcPr>
          <w:p w:rsidR="005B1FA6" w:rsidRPr="00D43341" w:rsidRDefault="005B1FA6" w:rsidP="005B1FA6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8"/>
              </w:rPr>
            </w:pPr>
            <w:r w:rsidRPr="005B1FA6">
              <w:rPr>
                <w:rFonts w:ascii="宋体" w:hAnsi="宋体" w:cs="Calibri" w:hint="eastAsia"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3992" w:type="pct"/>
            <w:shd w:val="clear" w:color="auto" w:fill="auto"/>
            <w:noWrap/>
            <w:vAlign w:val="center"/>
            <w:hideMark/>
          </w:tcPr>
          <w:p w:rsidR="005B1FA6" w:rsidRPr="00D43341" w:rsidRDefault="005B1FA6" w:rsidP="005B1FA6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8"/>
              </w:rPr>
            </w:pPr>
            <w:r w:rsidRPr="005B1FA6">
              <w:rPr>
                <w:rFonts w:ascii="宋体" w:hAnsi="宋体" w:cs="Calibri" w:hint="eastAsia"/>
                <w:color w:val="000000"/>
                <w:sz w:val="24"/>
                <w:szCs w:val="28"/>
              </w:rPr>
              <w:t>基金名称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5B1FA6" w:rsidRPr="00D43341" w:rsidRDefault="005B1FA6" w:rsidP="005B1FA6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8"/>
              </w:rPr>
            </w:pPr>
            <w:r w:rsidRPr="005B1FA6">
              <w:rPr>
                <w:rFonts w:ascii="宋体" w:hAnsi="宋体" w:cs="Calibri" w:hint="eastAsia"/>
                <w:color w:val="000000"/>
                <w:sz w:val="24"/>
                <w:szCs w:val="28"/>
              </w:rPr>
              <w:t>基金代码</w:t>
            </w:r>
          </w:p>
        </w:tc>
      </w:tr>
      <w:tr w:rsidR="002B2073" w:rsidRPr="00D43341" w:rsidTr="00DC0AA2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  <w:hideMark/>
          </w:tcPr>
          <w:p w:rsidR="002B2073" w:rsidRPr="002B2073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3992" w:type="pct"/>
            <w:shd w:val="clear" w:color="auto" w:fill="auto"/>
            <w:noWrap/>
            <w:vAlign w:val="center"/>
            <w:hideMark/>
          </w:tcPr>
          <w:p w:rsidR="002B2073" w:rsidRPr="005C708C" w:rsidRDefault="00DC0AA2" w:rsidP="002B207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DC0AA2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安信价值发现两年定期开放混合型证券投资基金(LOF)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2B2073" w:rsidRPr="005C708C" w:rsidRDefault="00DC0AA2" w:rsidP="00FA565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1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67508</w:t>
            </w:r>
          </w:p>
        </w:tc>
      </w:tr>
      <w:tr w:rsidR="002B2073" w:rsidRPr="00D43341" w:rsidTr="00DC0AA2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  <w:hideMark/>
          </w:tcPr>
          <w:p w:rsidR="002B2073" w:rsidRPr="002B2073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3992" w:type="pct"/>
            <w:shd w:val="clear" w:color="auto" w:fill="auto"/>
            <w:noWrap/>
            <w:vAlign w:val="center"/>
            <w:hideMark/>
          </w:tcPr>
          <w:p w:rsidR="002B2073" w:rsidRPr="005C708C" w:rsidRDefault="00DC0AA2" w:rsidP="002B207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DC0AA2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安信价值回报三年持有期混合型证券投资基金</w:t>
            </w: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A类份额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00</w:t>
            </w:r>
            <w:r w:rsidR="00DC0AA2">
              <w:rPr>
                <w:rFonts w:ascii="宋体" w:hAnsi="宋体" w:cs="Calibri"/>
                <w:color w:val="000000"/>
                <w:sz w:val="24"/>
                <w:szCs w:val="28"/>
              </w:rPr>
              <w:t>8954</w:t>
            </w:r>
          </w:p>
        </w:tc>
      </w:tr>
      <w:tr w:rsidR="00681D5E" w:rsidRPr="00D43341" w:rsidTr="00DC0AA2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</w:tcPr>
          <w:p w:rsidR="00681D5E" w:rsidRDefault="00681D5E" w:rsidP="00681D5E">
            <w:pPr>
              <w:widowControl/>
              <w:jc w:val="center"/>
              <w:rPr>
                <w:rFonts w:ascii="宋体" w:hAnsi="宋体" w:cs="Calibri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3992" w:type="pct"/>
            <w:shd w:val="clear" w:color="auto" w:fill="auto"/>
            <w:noWrap/>
            <w:vAlign w:val="center"/>
          </w:tcPr>
          <w:p w:rsidR="00681D5E" w:rsidRPr="002B2073" w:rsidRDefault="00DC0AA2" w:rsidP="00681D5E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DC0AA2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安信价值回报三年持有期混合型证券投资基金</w:t>
            </w: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C</w:t>
            </w:r>
            <w:r w:rsidR="00681D5E"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681D5E" w:rsidRPr="002B2073" w:rsidRDefault="00681D5E" w:rsidP="00681D5E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0</w:t>
            </w:r>
            <w:r w:rsidR="00DC0AA2">
              <w:rPr>
                <w:rFonts w:ascii="宋体" w:hAnsi="宋体" w:cs="Calibri"/>
                <w:color w:val="000000"/>
                <w:sz w:val="24"/>
                <w:szCs w:val="28"/>
              </w:rPr>
              <w:t>10667</w:t>
            </w:r>
          </w:p>
        </w:tc>
      </w:tr>
      <w:tr w:rsidR="002B2073" w:rsidRPr="00D43341" w:rsidTr="00DC0AA2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  <w:hideMark/>
          </w:tcPr>
          <w:p w:rsidR="002B2073" w:rsidRPr="002B2073" w:rsidRDefault="00681D5E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4</w:t>
            </w:r>
          </w:p>
        </w:tc>
        <w:tc>
          <w:tcPr>
            <w:tcW w:w="3992" w:type="pct"/>
            <w:shd w:val="clear" w:color="auto" w:fill="auto"/>
            <w:noWrap/>
            <w:vAlign w:val="center"/>
            <w:hideMark/>
          </w:tcPr>
          <w:p w:rsidR="002B2073" w:rsidRPr="005C708C" w:rsidRDefault="00DC0AA2" w:rsidP="002B207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DC0AA2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安信价值精选股票型证券投资基金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2B2073" w:rsidRPr="005C708C" w:rsidRDefault="00DC0AA2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/>
                <w:color w:val="000000"/>
                <w:sz w:val="24"/>
                <w:szCs w:val="28"/>
              </w:rPr>
              <w:t>000577</w:t>
            </w:r>
          </w:p>
        </w:tc>
      </w:tr>
      <w:tr w:rsidR="00DC0AA2" w:rsidRPr="00D43341" w:rsidTr="00DC0AA2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  <w:hideMark/>
          </w:tcPr>
          <w:p w:rsidR="00DC0AA2" w:rsidRPr="002B2073" w:rsidRDefault="00DC0AA2" w:rsidP="00DC0AA2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5</w:t>
            </w:r>
          </w:p>
        </w:tc>
        <w:tc>
          <w:tcPr>
            <w:tcW w:w="3992" w:type="pct"/>
            <w:shd w:val="clear" w:color="auto" w:fill="auto"/>
            <w:noWrap/>
            <w:vAlign w:val="center"/>
            <w:hideMark/>
          </w:tcPr>
          <w:p w:rsidR="00DC0AA2" w:rsidRPr="005C708C" w:rsidRDefault="00DC0AA2" w:rsidP="00DC0AA2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DC0AA2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安信民稳增长混合型证券投资基金</w:t>
            </w: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A类份额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DC0AA2" w:rsidRPr="005C708C" w:rsidRDefault="00DC0AA2" w:rsidP="00DC0AA2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0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08809</w:t>
            </w:r>
          </w:p>
        </w:tc>
      </w:tr>
      <w:tr w:rsidR="00DC0AA2" w:rsidRPr="00D43341" w:rsidTr="00DC0AA2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  <w:hideMark/>
          </w:tcPr>
          <w:p w:rsidR="00DC0AA2" w:rsidRPr="002B2073" w:rsidRDefault="00DC0AA2" w:rsidP="00DC0AA2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6</w:t>
            </w:r>
          </w:p>
        </w:tc>
        <w:tc>
          <w:tcPr>
            <w:tcW w:w="3992" w:type="pct"/>
            <w:shd w:val="clear" w:color="auto" w:fill="auto"/>
            <w:noWrap/>
            <w:vAlign w:val="center"/>
            <w:hideMark/>
          </w:tcPr>
          <w:p w:rsidR="00DC0AA2" w:rsidRPr="005C708C" w:rsidRDefault="00DC0AA2" w:rsidP="00DC0AA2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DC0AA2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安信民稳增长混合型证券投资基金</w:t>
            </w: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C类份额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DC0AA2" w:rsidRPr="005C708C" w:rsidRDefault="00DC0AA2" w:rsidP="00DC0AA2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0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08810</w:t>
            </w:r>
          </w:p>
        </w:tc>
      </w:tr>
      <w:tr w:rsidR="00DC0AA2" w:rsidRPr="00D43341" w:rsidTr="00DC0AA2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  <w:hideMark/>
          </w:tcPr>
          <w:p w:rsidR="00DC0AA2" w:rsidRPr="002B2073" w:rsidRDefault="00DC0AA2" w:rsidP="00DC0AA2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7</w:t>
            </w:r>
          </w:p>
        </w:tc>
        <w:tc>
          <w:tcPr>
            <w:tcW w:w="3992" w:type="pct"/>
            <w:shd w:val="clear" w:color="auto" w:fill="auto"/>
            <w:noWrap/>
            <w:vAlign w:val="center"/>
            <w:hideMark/>
          </w:tcPr>
          <w:p w:rsidR="00DC0AA2" w:rsidRPr="005C708C" w:rsidRDefault="00DC0AA2" w:rsidP="00DC0AA2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DC0AA2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安信稳健聚申一年持有期混合型证券投资基金</w:t>
            </w: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A类份额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DC0AA2" w:rsidRPr="005C708C" w:rsidRDefault="00DC0AA2" w:rsidP="00DC0AA2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0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09849</w:t>
            </w:r>
          </w:p>
        </w:tc>
      </w:tr>
      <w:tr w:rsidR="00DC0AA2" w:rsidRPr="00D43341" w:rsidTr="00DC0AA2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  <w:hideMark/>
          </w:tcPr>
          <w:p w:rsidR="00DC0AA2" w:rsidRPr="002B2073" w:rsidRDefault="00DC0AA2" w:rsidP="00DC0AA2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8</w:t>
            </w:r>
          </w:p>
        </w:tc>
        <w:tc>
          <w:tcPr>
            <w:tcW w:w="3992" w:type="pct"/>
            <w:shd w:val="clear" w:color="auto" w:fill="auto"/>
            <w:noWrap/>
            <w:vAlign w:val="center"/>
            <w:hideMark/>
          </w:tcPr>
          <w:p w:rsidR="00DC0AA2" w:rsidRPr="005C708C" w:rsidRDefault="00DC0AA2" w:rsidP="00DC0AA2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DC0AA2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安信稳健聚申一年持有期混合型证券投资基金</w:t>
            </w: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C类份额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DC0AA2" w:rsidRPr="005C708C" w:rsidRDefault="00DC0AA2" w:rsidP="00DC0AA2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0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10661</w:t>
            </w:r>
          </w:p>
        </w:tc>
      </w:tr>
      <w:tr w:rsidR="00DC0AA2" w:rsidRPr="00D43341" w:rsidTr="002A5F03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</w:tcPr>
          <w:p w:rsidR="00DC0AA2" w:rsidRDefault="000414F1" w:rsidP="00DC0AA2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9</w:t>
            </w:r>
          </w:p>
        </w:tc>
        <w:tc>
          <w:tcPr>
            <w:tcW w:w="3992" w:type="pct"/>
            <w:shd w:val="clear" w:color="auto" w:fill="auto"/>
            <w:noWrap/>
            <w:vAlign w:val="center"/>
          </w:tcPr>
          <w:p w:rsidR="00DC0AA2" w:rsidRPr="00213AA6" w:rsidRDefault="00DC0AA2" w:rsidP="002A5F0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A5F0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安信稳健增值灵活配置混合型证券投资基金</w:t>
            </w:r>
            <w:r w:rsidR="002A5F03"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A类份额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DC0AA2" w:rsidRPr="002B2073" w:rsidRDefault="00DC0AA2" w:rsidP="00DC0AA2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0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01316</w:t>
            </w:r>
          </w:p>
        </w:tc>
      </w:tr>
      <w:tr w:rsidR="00DC0AA2" w:rsidRPr="00D43341" w:rsidTr="002A5F03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</w:tcPr>
          <w:p w:rsidR="00DC0AA2" w:rsidRDefault="000414F1" w:rsidP="00DC0AA2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1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0</w:t>
            </w:r>
          </w:p>
        </w:tc>
        <w:tc>
          <w:tcPr>
            <w:tcW w:w="3992" w:type="pct"/>
            <w:shd w:val="clear" w:color="auto" w:fill="auto"/>
            <w:noWrap/>
            <w:vAlign w:val="center"/>
          </w:tcPr>
          <w:p w:rsidR="00DC0AA2" w:rsidRPr="00213AA6" w:rsidRDefault="00DC0AA2" w:rsidP="002A5F0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A5F0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安信稳健增值灵活配置混合型证券投资基金</w:t>
            </w:r>
            <w:r w:rsidR="002A5F03">
              <w:rPr>
                <w:rFonts w:ascii="宋体" w:hAnsi="宋体" w:cs="Calibri" w:hint="eastAsia"/>
                <w:color w:val="000000"/>
                <w:sz w:val="24"/>
                <w:szCs w:val="28"/>
              </w:rPr>
              <w:t>C</w:t>
            </w:r>
            <w:r w:rsidR="002A5F03"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DC0AA2" w:rsidRPr="002B2073" w:rsidRDefault="00DC0AA2" w:rsidP="00DC0AA2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0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01338</w:t>
            </w:r>
          </w:p>
        </w:tc>
      </w:tr>
      <w:tr w:rsidR="00DC0AA2" w:rsidRPr="00D43341" w:rsidTr="002A5F03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</w:tcPr>
          <w:p w:rsidR="00DC0AA2" w:rsidRDefault="000414F1" w:rsidP="00DC0AA2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1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1</w:t>
            </w:r>
          </w:p>
        </w:tc>
        <w:tc>
          <w:tcPr>
            <w:tcW w:w="3992" w:type="pct"/>
            <w:shd w:val="clear" w:color="auto" w:fill="auto"/>
            <w:noWrap/>
            <w:vAlign w:val="center"/>
          </w:tcPr>
          <w:p w:rsidR="00DC0AA2" w:rsidRPr="00213AA6" w:rsidRDefault="00DC0AA2" w:rsidP="002A5F0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A5F0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安信新常态沪港深精选股票型证券投资基金</w:t>
            </w:r>
            <w:r w:rsidR="002A5F03"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A类份额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DC0AA2" w:rsidRPr="002B2073" w:rsidRDefault="00DC0AA2" w:rsidP="00DC0AA2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0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01583</w:t>
            </w:r>
          </w:p>
        </w:tc>
      </w:tr>
      <w:tr w:rsidR="00DC0AA2" w:rsidRPr="00D43341" w:rsidTr="002A5F03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</w:tcPr>
          <w:p w:rsidR="00DC0AA2" w:rsidRDefault="000414F1" w:rsidP="00DC0AA2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1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2</w:t>
            </w:r>
          </w:p>
        </w:tc>
        <w:tc>
          <w:tcPr>
            <w:tcW w:w="3992" w:type="pct"/>
            <w:shd w:val="clear" w:color="auto" w:fill="auto"/>
            <w:noWrap/>
            <w:vAlign w:val="center"/>
          </w:tcPr>
          <w:p w:rsidR="00DC0AA2" w:rsidRPr="00213AA6" w:rsidRDefault="00DC0AA2" w:rsidP="002A5F0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A5F0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安信新常态沪港深精选股票型证券投资基金</w:t>
            </w:r>
            <w:r w:rsidR="002A5F03">
              <w:rPr>
                <w:rFonts w:ascii="宋体" w:hAnsi="宋体" w:cs="Calibri" w:hint="eastAsia"/>
                <w:color w:val="000000"/>
                <w:sz w:val="24"/>
                <w:szCs w:val="28"/>
              </w:rPr>
              <w:t>C</w:t>
            </w:r>
            <w:r w:rsidR="002A5F03"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DC0AA2" w:rsidRPr="002B2073" w:rsidRDefault="00DC0AA2" w:rsidP="00DC0AA2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/>
                <w:color w:val="000000"/>
                <w:sz w:val="24"/>
                <w:szCs w:val="28"/>
              </w:rPr>
              <w:t>0</w:t>
            </w: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1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1726</w:t>
            </w:r>
          </w:p>
        </w:tc>
      </w:tr>
      <w:tr w:rsidR="00DC0AA2" w:rsidRPr="00D43341" w:rsidTr="002A5F03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</w:tcPr>
          <w:p w:rsidR="00DC0AA2" w:rsidRDefault="000414F1" w:rsidP="00DC0AA2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1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3</w:t>
            </w:r>
          </w:p>
        </w:tc>
        <w:tc>
          <w:tcPr>
            <w:tcW w:w="3992" w:type="pct"/>
            <w:shd w:val="clear" w:color="auto" w:fill="auto"/>
            <w:noWrap/>
            <w:vAlign w:val="center"/>
          </w:tcPr>
          <w:p w:rsidR="00DC0AA2" w:rsidRPr="00213AA6" w:rsidRDefault="00DC0AA2" w:rsidP="002A5F0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A5F0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安信新成长灵活配置混合型证券投资基金</w:t>
            </w:r>
            <w:r w:rsidR="002A5F03"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A类份额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DC0AA2" w:rsidRPr="002B2073" w:rsidRDefault="00DC0AA2" w:rsidP="00DC0AA2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0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03345</w:t>
            </w:r>
          </w:p>
        </w:tc>
      </w:tr>
      <w:tr w:rsidR="00DC0AA2" w:rsidRPr="00D43341" w:rsidTr="002A5F03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</w:tcPr>
          <w:p w:rsidR="00DC0AA2" w:rsidRDefault="000414F1" w:rsidP="00DC0AA2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1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4</w:t>
            </w:r>
          </w:p>
        </w:tc>
        <w:tc>
          <w:tcPr>
            <w:tcW w:w="3992" w:type="pct"/>
            <w:shd w:val="clear" w:color="auto" w:fill="auto"/>
            <w:noWrap/>
            <w:vAlign w:val="center"/>
          </w:tcPr>
          <w:p w:rsidR="00DC0AA2" w:rsidRPr="00213AA6" w:rsidRDefault="00DC0AA2" w:rsidP="002A5F0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A5F0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安信新成长灵活配置混合型证券投资基金</w:t>
            </w:r>
            <w:r w:rsidR="002A5F03">
              <w:rPr>
                <w:rFonts w:ascii="宋体" w:hAnsi="宋体" w:cs="Calibri" w:hint="eastAsia"/>
                <w:color w:val="000000"/>
                <w:sz w:val="24"/>
                <w:szCs w:val="28"/>
              </w:rPr>
              <w:t>C</w:t>
            </w:r>
            <w:r w:rsidR="002A5F03"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DC0AA2" w:rsidRPr="002B2073" w:rsidRDefault="00DC0AA2" w:rsidP="00DC0AA2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0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03346</w:t>
            </w:r>
          </w:p>
        </w:tc>
      </w:tr>
      <w:tr w:rsidR="002A5F03" w:rsidRPr="00D43341" w:rsidTr="002A5F03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</w:tcPr>
          <w:p w:rsidR="002A5F03" w:rsidRDefault="000414F1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lastRenderedPageBreak/>
              <w:t>1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5</w:t>
            </w:r>
          </w:p>
        </w:tc>
        <w:tc>
          <w:tcPr>
            <w:tcW w:w="3992" w:type="pct"/>
            <w:shd w:val="clear" w:color="auto" w:fill="auto"/>
            <w:noWrap/>
            <w:vAlign w:val="center"/>
          </w:tcPr>
          <w:p w:rsidR="002A5F03" w:rsidRPr="00213AA6" w:rsidRDefault="002A5F03" w:rsidP="002A5F0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A5F0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安信新回报灵活配置混合型证券投资基金</w:t>
            </w: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A类份额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2A5F03" w:rsidRPr="002B2073" w:rsidRDefault="002A5F03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0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02770</w:t>
            </w:r>
          </w:p>
        </w:tc>
      </w:tr>
      <w:tr w:rsidR="002A5F03" w:rsidRPr="00D43341" w:rsidTr="002A5F03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</w:tcPr>
          <w:p w:rsidR="002A5F03" w:rsidRDefault="000414F1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1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6</w:t>
            </w:r>
          </w:p>
        </w:tc>
        <w:tc>
          <w:tcPr>
            <w:tcW w:w="3992" w:type="pct"/>
            <w:shd w:val="clear" w:color="auto" w:fill="auto"/>
            <w:noWrap/>
            <w:vAlign w:val="center"/>
          </w:tcPr>
          <w:p w:rsidR="002A5F03" w:rsidRPr="00213AA6" w:rsidRDefault="002A5F03" w:rsidP="002A5F0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A5F0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安信新回报灵活配置混合型证券投资基金</w:t>
            </w: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C</w:t>
            </w: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2A5F03" w:rsidRPr="002B2073" w:rsidRDefault="002A5F03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0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02771</w:t>
            </w:r>
          </w:p>
        </w:tc>
      </w:tr>
      <w:tr w:rsidR="002A5F03" w:rsidRPr="00D43341" w:rsidTr="002A5F03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</w:tcPr>
          <w:p w:rsidR="002A5F03" w:rsidRDefault="000414F1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1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7</w:t>
            </w:r>
          </w:p>
        </w:tc>
        <w:tc>
          <w:tcPr>
            <w:tcW w:w="3992" w:type="pct"/>
            <w:shd w:val="clear" w:color="auto" w:fill="auto"/>
            <w:noWrap/>
            <w:vAlign w:val="center"/>
          </w:tcPr>
          <w:p w:rsidR="002A5F03" w:rsidRPr="00213AA6" w:rsidRDefault="002A5F03" w:rsidP="002A5F0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A5F0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安信新目标灵活配置混合型证券投资基金</w:t>
            </w: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A类份额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2A5F03" w:rsidRPr="002B2073" w:rsidRDefault="002A5F03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0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03030</w:t>
            </w:r>
          </w:p>
        </w:tc>
      </w:tr>
      <w:tr w:rsidR="002A5F03" w:rsidRPr="00D43341" w:rsidTr="002A5F03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</w:tcPr>
          <w:p w:rsidR="002A5F03" w:rsidRDefault="000414F1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1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8</w:t>
            </w:r>
          </w:p>
        </w:tc>
        <w:tc>
          <w:tcPr>
            <w:tcW w:w="3992" w:type="pct"/>
            <w:shd w:val="clear" w:color="auto" w:fill="auto"/>
            <w:noWrap/>
            <w:vAlign w:val="center"/>
          </w:tcPr>
          <w:p w:rsidR="002A5F03" w:rsidRPr="00213AA6" w:rsidRDefault="002A5F03" w:rsidP="002A5F0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A5F0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安信新目标灵活配置混合型证券投资基金</w:t>
            </w: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C</w:t>
            </w: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2A5F03" w:rsidRPr="002B2073" w:rsidRDefault="002A5F03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0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03031</w:t>
            </w:r>
          </w:p>
        </w:tc>
      </w:tr>
      <w:tr w:rsidR="002A5F03" w:rsidRPr="00D43341" w:rsidTr="002A5F03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</w:tcPr>
          <w:p w:rsidR="002A5F03" w:rsidRDefault="000414F1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1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9</w:t>
            </w:r>
          </w:p>
        </w:tc>
        <w:tc>
          <w:tcPr>
            <w:tcW w:w="3992" w:type="pct"/>
            <w:shd w:val="clear" w:color="auto" w:fill="auto"/>
            <w:noWrap/>
            <w:vAlign w:val="center"/>
          </w:tcPr>
          <w:p w:rsidR="002A5F03" w:rsidRPr="00213AA6" w:rsidRDefault="002A5F03" w:rsidP="002A5F0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A5F0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安信新优选灵活配置混合型证券投资基金</w:t>
            </w: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A类份额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2A5F03" w:rsidRPr="002B2073" w:rsidRDefault="002A5F03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0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03028</w:t>
            </w:r>
          </w:p>
        </w:tc>
      </w:tr>
      <w:tr w:rsidR="002A5F03" w:rsidRPr="00D43341" w:rsidTr="002A5F03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</w:tcPr>
          <w:p w:rsidR="002A5F03" w:rsidRDefault="000414F1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2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0</w:t>
            </w:r>
          </w:p>
        </w:tc>
        <w:tc>
          <w:tcPr>
            <w:tcW w:w="3992" w:type="pct"/>
            <w:shd w:val="clear" w:color="auto" w:fill="auto"/>
            <w:noWrap/>
            <w:vAlign w:val="center"/>
          </w:tcPr>
          <w:p w:rsidR="002A5F03" w:rsidRPr="00213AA6" w:rsidRDefault="002A5F03" w:rsidP="002A5F0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A5F0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安信新优选灵活配置混合型证券投资基金</w:t>
            </w: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C</w:t>
            </w: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2A5F03" w:rsidRPr="002B2073" w:rsidRDefault="002A5F03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0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03029</w:t>
            </w:r>
          </w:p>
        </w:tc>
      </w:tr>
      <w:tr w:rsidR="002A5F03" w:rsidRPr="00D43341" w:rsidTr="002A5F03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</w:tcPr>
          <w:p w:rsidR="002A5F03" w:rsidRDefault="000414F1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2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1</w:t>
            </w:r>
          </w:p>
        </w:tc>
        <w:tc>
          <w:tcPr>
            <w:tcW w:w="3992" w:type="pct"/>
            <w:shd w:val="clear" w:color="auto" w:fill="auto"/>
            <w:noWrap/>
            <w:vAlign w:val="center"/>
          </w:tcPr>
          <w:p w:rsidR="002A5F03" w:rsidRPr="00213AA6" w:rsidRDefault="002A5F03" w:rsidP="002A5F0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A5F0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安信鑫安得利灵活配置混合型证券投资基金</w:t>
            </w: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A类份额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2A5F03" w:rsidRPr="002B2073" w:rsidRDefault="002A5F03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0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01339</w:t>
            </w:r>
          </w:p>
        </w:tc>
      </w:tr>
      <w:tr w:rsidR="002A5F03" w:rsidRPr="00D43341" w:rsidTr="002A5F03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</w:tcPr>
          <w:p w:rsidR="002A5F03" w:rsidRDefault="000414F1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2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2</w:t>
            </w:r>
          </w:p>
        </w:tc>
        <w:tc>
          <w:tcPr>
            <w:tcW w:w="3992" w:type="pct"/>
            <w:shd w:val="clear" w:color="auto" w:fill="auto"/>
            <w:noWrap/>
            <w:vAlign w:val="center"/>
          </w:tcPr>
          <w:p w:rsidR="002A5F03" w:rsidRPr="00213AA6" w:rsidRDefault="002A5F03" w:rsidP="002A5F0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A5F0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安信鑫安得利灵活配置混合型证券投资基金</w:t>
            </w: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C</w:t>
            </w: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2A5F03" w:rsidRPr="002B2073" w:rsidRDefault="002A5F03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0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01400</w:t>
            </w:r>
          </w:p>
        </w:tc>
      </w:tr>
      <w:tr w:rsidR="002A5F03" w:rsidRPr="00D43341" w:rsidTr="002A5F03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</w:tcPr>
          <w:p w:rsidR="002A5F03" w:rsidRDefault="000414F1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2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3</w:t>
            </w:r>
          </w:p>
        </w:tc>
        <w:tc>
          <w:tcPr>
            <w:tcW w:w="3992" w:type="pct"/>
            <w:shd w:val="clear" w:color="auto" w:fill="auto"/>
            <w:noWrap/>
            <w:vAlign w:val="center"/>
          </w:tcPr>
          <w:p w:rsidR="002A5F03" w:rsidRPr="00213AA6" w:rsidRDefault="002A5F03" w:rsidP="002A5F0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A5F0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安信优势增长灵活配置混合型证券投资基金</w:t>
            </w: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A类份额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2A5F03" w:rsidRPr="002B2073" w:rsidRDefault="002A5F03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0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01287</w:t>
            </w:r>
          </w:p>
        </w:tc>
      </w:tr>
      <w:tr w:rsidR="002A5F03" w:rsidRPr="00D43341" w:rsidTr="002A5F03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</w:tcPr>
          <w:p w:rsidR="002A5F03" w:rsidRDefault="000414F1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2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4</w:t>
            </w:r>
          </w:p>
        </w:tc>
        <w:tc>
          <w:tcPr>
            <w:tcW w:w="3992" w:type="pct"/>
            <w:shd w:val="clear" w:color="auto" w:fill="auto"/>
            <w:noWrap/>
            <w:vAlign w:val="center"/>
          </w:tcPr>
          <w:p w:rsidR="002A5F03" w:rsidRPr="00213AA6" w:rsidRDefault="002A5F03" w:rsidP="002A5F0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A5F0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安信优势增长灵活配置混合型证券投资基金</w:t>
            </w: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C</w:t>
            </w: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2A5F03" w:rsidRPr="002B2073" w:rsidRDefault="002A5F03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0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02036</w:t>
            </w:r>
          </w:p>
        </w:tc>
      </w:tr>
      <w:tr w:rsidR="002A5F03" w:rsidRPr="00D43341" w:rsidTr="002A5F03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</w:tcPr>
          <w:p w:rsidR="002A5F03" w:rsidRDefault="000414F1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2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5</w:t>
            </w:r>
          </w:p>
        </w:tc>
        <w:tc>
          <w:tcPr>
            <w:tcW w:w="3992" w:type="pct"/>
            <w:shd w:val="clear" w:color="auto" w:fill="auto"/>
            <w:noWrap/>
            <w:vAlign w:val="center"/>
          </w:tcPr>
          <w:p w:rsidR="002A5F03" w:rsidRPr="00213AA6" w:rsidRDefault="002A5F03" w:rsidP="002A5F0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A5F0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安信优质企业三年持有期混合型证券投资基金</w:t>
            </w: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A类份额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2A5F03" w:rsidRPr="002B2073" w:rsidRDefault="002A5F03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0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12892</w:t>
            </w:r>
          </w:p>
        </w:tc>
      </w:tr>
      <w:tr w:rsidR="002A5F03" w:rsidRPr="00D43341" w:rsidTr="002A5F03">
        <w:trPr>
          <w:trHeight w:val="567"/>
          <w:jc w:val="center"/>
        </w:trPr>
        <w:tc>
          <w:tcPr>
            <w:tcW w:w="375" w:type="pct"/>
            <w:shd w:val="clear" w:color="auto" w:fill="auto"/>
            <w:noWrap/>
            <w:vAlign w:val="center"/>
          </w:tcPr>
          <w:p w:rsidR="002A5F03" w:rsidRDefault="000414F1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2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6</w:t>
            </w:r>
          </w:p>
        </w:tc>
        <w:tc>
          <w:tcPr>
            <w:tcW w:w="3992" w:type="pct"/>
            <w:shd w:val="clear" w:color="auto" w:fill="auto"/>
            <w:noWrap/>
            <w:vAlign w:val="center"/>
          </w:tcPr>
          <w:p w:rsidR="002A5F03" w:rsidRPr="00213AA6" w:rsidRDefault="002A5F03" w:rsidP="002A5F0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A5F0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安信优质企业三年持有期混合型证券投资基金</w:t>
            </w: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C</w:t>
            </w: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类份额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2A5F03" w:rsidRDefault="002A5F03" w:rsidP="002A5F0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sz w:val="24"/>
                <w:szCs w:val="28"/>
              </w:rPr>
              <w:t>0</w:t>
            </w:r>
            <w:r>
              <w:rPr>
                <w:rFonts w:ascii="宋体" w:hAnsi="宋体" w:cs="Calibri"/>
                <w:color w:val="000000"/>
                <w:sz w:val="24"/>
                <w:szCs w:val="28"/>
              </w:rPr>
              <w:t>12893</w:t>
            </w:r>
          </w:p>
        </w:tc>
      </w:tr>
    </w:tbl>
    <w:p w:rsidR="00095382" w:rsidRPr="00C84685" w:rsidRDefault="00095382" w:rsidP="007655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Calibri" w:hint="eastAsia"/>
          <w:color w:val="000000"/>
          <w:kern w:val="0"/>
          <w:sz w:val="24"/>
          <w:szCs w:val="24"/>
        </w:rPr>
        <w:t>二、</w:t>
      </w:r>
      <w:r>
        <w:rPr>
          <w:rFonts w:ascii="宋体" w:hAnsi="宋体" w:cs="Calibri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重要提示</w:t>
      </w:r>
    </w:p>
    <w:p w:rsidR="00E82FF2" w:rsidRDefault="00E82FF2" w:rsidP="00E82F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1.投资者在</w:t>
      </w:r>
      <w:r w:rsidR="00FC5BBD">
        <w:rPr>
          <w:rFonts w:ascii="宋体" w:hAnsi="宋体" w:cs="宋体" w:hint="eastAsia"/>
          <w:color w:val="000000"/>
          <w:kern w:val="0"/>
          <w:sz w:val="24"/>
          <w:szCs w:val="24"/>
        </w:rPr>
        <w:t>九州</w:t>
      </w:r>
      <w:r w:rsidR="002B2073">
        <w:rPr>
          <w:rFonts w:ascii="宋体" w:hAnsi="宋体" w:cs="宋体" w:hint="eastAsia"/>
          <w:color w:val="000000"/>
          <w:kern w:val="0"/>
          <w:sz w:val="24"/>
          <w:szCs w:val="24"/>
        </w:rPr>
        <w:t>证券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办理上述基金投资业务，具体办理规则及程序请遵循</w:t>
      </w:r>
      <w:r w:rsidR="00FC5BBD">
        <w:rPr>
          <w:rFonts w:ascii="宋体" w:hAnsi="宋体" w:cs="宋体" w:hint="eastAsia"/>
          <w:color w:val="000000"/>
          <w:kern w:val="0"/>
          <w:sz w:val="24"/>
          <w:szCs w:val="24"/>
        </w:rPr>
        <w:t>九州</w:t>
      </w:r>
      <w:r w:rsidR="002B2073">
        <w:rPr>
          <w:rFonts w:ascii="宋体" w:hAnsi="宋体" w:cs="宋体" w:hint="eastAsia"/>
          <w:color w:val="000000"/>
          <w:kern w:val="0"/>
          <w:sz w:val="24"/>
          <w:szCs w:val="24"/>
        </w:rPr>
        <w:t>证券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的规定。上述基金可参与</w:t>
      </w:r>
      <w:r w:rsidR="00FC5BBD">
        <w:rPr>
          <w:rFonts w:ascii="宋体" w:hAnsi="宋体" w:cs="宋体" w:hint="eastAsia"/>
          <w:color w:val="000000"/>
          <w:kern w:val="0"/>
          <w:sz w:val="24"/>
          <w:szCs w:val="24"/>
        </w:rPr>
        <w:t>九州</w:t>
      </w:r>
      <w:r w:rsidR="002B2073">
        <w:rPr>
          <w:rFonts w:ascii="宋体" w:hAnsi="宋体" w:cs="宋体" w:hint="eastAsia"/>
          <w:color w:val="000000"/>
          <w:kern w:val="0"/>
          <w:sz w:val="24"/>
          <w:szCs w:val="24"/>
        </w:rPr>
        <w:t>证券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开展的费率优惠活动，届时请以</w:t>
      </w:r>
      <w:r w:rsidR="00FC5BBD">
        <w:rPr>
          <w:rFonts w:ascii="宋体" w:hAnsi="宋体" w:cs="宋体" w:hint="eastAsia"/>
          <w:color w:val="000000"/>
          <w:kern w:val="0"/>
          <w:sz w:val="24"/>
          <w:szCs w:val="24"/>
        </w:rPr>
        <w:t>九州</w:t>
      </w:r>
      <w:r w:rsidR="002B2073">
        <w:rPr>
          <w:rFonts w:ascii="宋体" w:hAnsi="宋体" w:cs="宋体" w:hint="eastAsia"/>
          <w:color w:val="000000"/>
          <w:kern w:val="0"/>
          <w:sz w:val="24"/>
          <w:szCs w:val="24"/>
        </w:rPr>
        <w:t>证券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公告为准，本公司不再另行公告。</w:t>
      </w:r>
    </w:p>
    <w:p w:rsidR="00E82FF2" w:rsidRDefault="00E82FF2" w:rsidP="00E82F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2.投资者欲了解上述基金产品的详细情况，请仔细阅读刊登于本公司网站（www.essencefund.com）的相关基金《基金合同》、《招募说明书》等法律文件及相关业务公告。</w:t>
      </w:r>
    </w:p>
    <w:p w:rsidR="00DE30EC" w:rsidRPr="00E82FF2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Calibri" w:hint="eastAsia"/>
          <w:color w:val="000000"/>
          <w:kern w:val="0"/>
          <w:sz w:val="24"/>
          <w:szCs w:val="24"/>
        </w:rPr>
      </w:pP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1E1E1E"/>
          <w:kern w:val="0"/>
          <w:sz w:val="24"/>
          <w:szCs w:val="24"/>
        </w:rPr>
        <w:t>三、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投资者可通过以下渠道咨询详情：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1、安信基金管理有限责任公司</w:t>
      </w:r>
    </w:p>
    <w:p w:rsidR="00B84A0C" w:rsidRDefault="00B84A0C" w:rsidP="00B84A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B84A0C">
        <w:rPr>
          <w:rFonts w:ascii="宋体" w:hAnsi="宋体" w:cs="宋体" w:hint="eastAsia"/>
          <w:color w:val="000000"/>
          <w:kern w:val="0"/>
          <w:sz w:val="24"/>
          <w:szCs w:val="24"/>
        </w:rPr>
        <w:t>住所</w:t>
      </w:r>
      <w:r w:rsidRPr="00B84A0C">
        <w:rPr>
          <w:rFonts w:ascii="宋体" w:hAnsi="宋体" w:cs="宋体"/>
          <w:color w:val="000000"/>
          <w:kern w:val="0"/>
          <w:sz w:val="24"/>
          <w:szCs w:val="24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广东省深圳市福田区莲花街道益田路6009号新世界商务中心36楼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客户服务电话：4008-088-088</w:t>
      </w:r>
    </w:p>
    <w:p w:rsidR="00E27778" w:rsidRDefault="00DE30EC" w:rsidP="007C4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网站：</w:t>
      </w:r>
      <w:hyperlink r:id="rId6" w:history="1">
        <w:r>
          <w:rPr>
            <w:rStyle w:val="a6"/>
            <w:rFonts w:ascii="宋体" w:hAnsi="宋体" w:cs="宋体" w:hint="eastAsia"/>
            <w:color w:val="auto"/>
            <w:kern w:val="0"/>
            <w:sz w:val="24"/>
            <w:szCs w:val="24"/>
            <w:u w:val="none"/>
          </w:rPr>
          <w:t>www.essencefund.com</w:t>
        </w:r>
      </w:hyperlink>
    </w:p>
    <w:p w:rsidR="003E7A40" w:rsidRPr="003E7A40" w:rsidRDefault="00B84A0C" w:rsidP="003E7A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2、</w:t>
      </w:r>
      <w:r w:rsidR="00FC5BBD">
        <w:rPr>
          <w:rFonts w:ascii="宋体" w:hAnsi="宋体" w:cs="宋体" w:hint="eastAsia"/>
          <w:color w:val="000000"/>
          <w:kern w:val="0"/>
          <w:sz w:val="24"/>
          <w:szCs w:val="24"/>
        </w:rPr>
        <w:t>九州</w:t>
      </w:r>
      <w:r w:rsidR="002B2073">
        <w:rPr>
          <w:rFonts w:ascii="宋体" w:hAnsi="宋体" w:cs="宋体" w:hint="eastAsia"/>
          <w:color w:val="000000"/>
          <w:kern w:val="0"/>
          <w:sz w:val="24"/>
          <w:szCs w:val="24"/>
        </w:rPr>
        <w:t>证券股份有限公司</w:t>
      </w:r>
    </w:p>
    <w:p w:rsidR="00337520" w:rsidRPr="00337520" w:rsidRDefault="00337520" w:rsidP="003375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337520">
        <w:rPr>
          <w:rFonts w:ascii="宋体" w:hAnsi="宋体" w:cs="宋体" w:hint="eastAsia"/>
          <w:color w:val="000000"/>
          <w:kern w:val="0"/>
          <w:sz w:val="24"/>
          <w:szCs w:val="24"/>
        </w:rPr>
        <w:t>住所：</w:t>
      </w:r>
      <w:r w:rsidR="00FC5BBD" w:rsidRPr="00FC5BBD">
        <w:rPr>
          <w:rFonts w:ascii="宋体" w:hAnsi="宋体" w:cs="宋体" w:hint="eastAsia"/>
          <w:color w:val="000000"/>
          <w:kern w:val="0"/>
          <w:sz w:val="24"/>
          <w:szCs w:val="24"/>
        </w:rPr>
        <w:t>北京市朝阳区安立路30号仰山公园东一门2号楼</w:t>
      </w:r>
    </w:p>
    <w:p w:rsidR="00337520" w:rsidRPr="0076553E" w:rsidRDefault="00337520" w:rsidP="003375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76553E">
        <w:rPr>
          <w:rFonts w:ascii="宋体" w:hAnsi="宋体" w:cs="宋体" w:hint="eastAsia"/>
          <w:color w:val="000000"/>
          <w:kern w:val="0"/>
          <w:sz w:val="24"/>
          <w:szCs w:val="24"/>
        </w:rPr>
        <w:t>客户服务电话：</w:t>
      </w:r>
      <w:r w:rsidR="00681D5E">
        <w:rPr>
          <w:rFonts w:ascii="宋体" w:hAnsi="宋体" w:cs="宋体"/>
          <w:color w:val="000000"/>
          <w:kern w:val="0"/>
          <w:sz w:val="24"/>
          <w:szCs w:val="24"/>
        </w:rPr>
        <w:t>95</w:t>
      </w:r>
      <w:r w:rsidR="00462EB0">
        <w:rPr>
          <w:rFonts w:ascii="宋体" w:hAnsi="宋体" w:cs="宋体"/>
          <w:color w:val="000000"/>
          <w:kern w:val="0"/>
          <w:sz w:val="24"/>
          <w:szCs w:val="24"/>
        </w:rPr>
        <w:t>305</w:t>
      </w:r>
    </w:p>
    <w:p w:rsidR="003E7A40" w:rsidRDefault="00337520" w:rsidP="003375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76553E">
        <w:rPr>
          <w:rFonts w:ascii="宋体" w:hAnsi="宋体" w:cs="宋体" w:hint="eastAsia"/>
          <w:color w:val="000000"/>
          <w:kern w:val="0"/>
          <w:sz w:val="24"/>
          <w:szCs w:val="24"/>
        </w:rPr>
        <w:t>网址：</w:t>
      </w:r>
      <w:r w:rsidR="00462EB0" w:rsidRPr="00462EB0">
        <w:rPr>
          <w:rFonts w:ascii="宋体" w:hAnsi="宋体" w:cs="宋体"/>
          <w:color w:val="000000"/>
          <w:kern w:val="0"/>
          <w:sz w:val="24"/>
          <w:szCs w:val="24"/>
        </w:rPr>
        <w:t>www.jzsec.com</w:t>
      </w:r>
    </w:p>
    <w:p w:rsidR="00337520" w:rsidRPr="002E0E18" w:rsidRDefault="00337520" w:rsidP="003375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风险提示：本公司承诺以诚实信用、勤勉尽责的原则管理和运用基金资产，但不保证基金一定盈利，也不保证最低收益。</w:t>
      </w:r>
      <w:r w:rsidR="008875CE" w:rsidRPr="008B2348">
        <w:rPr>
          <w:rFonts w:ascii="宋体" w:hAnsi="宋体" w:cs="宋体" w:hint="eastAsia"/>
          <w:color w:val="000000"/>
          <w:kern w:val="0"/>
          <w:sz w:val="24"/>
          <w:szCs w:val="24"/>
        </w:rPr>
        <w:t>定期定额投资是引导投资人进行长期投资、平均投资成本的一种投资方式。但是定期定额投资并不能规避基金投资所固有的风险，不能保证投资人获得收益，也不是替代储蓄的等效理财方式。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基金投资有风险，敬请投资人认真阅读基金的相关法律文件，并选择适合自身风险承受能力的投资品种进行投资。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特此公告。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安信</w:t>
      </w:r>
      <w:r>
        <w:rPr>
          <w:rFonts w:ascii="宋体" w:hAnsi="宋体" w:cs="宋体"/>
          <w:color w:val="000000"/>
          <w:kern w:val="0"/>
          <w:sz w:val="24"/>
          <w:szCs w:val="24"/>
        </w:rPr>
        <w:t>基金管理有限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责任</w:t>
      </w:r>
      <w:r>
        <w:rPr>
          <w:rFonts w:ascii="宋体" w:hAnsi="宋体" w:cs="宋体"/>
          <w:color w:val="000000"/>
          <w:kern w:val="0"/>
          <w:sz w:val="24"/>
          <w:szCs w:val="24"/>
        </w:rPr>
        <w:t>公司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</w:t>
      </w:r>
      <w:r w:rsidR="00D35F78">
        <w:rPr>
          <w:rFonts w:ascii="宋体" w:hAnsi="宋体" w:cs="宋体"/>
          <w:color w:val="000000"/>
          <w:kern w:val="0"/>
          <w:sz w:val="24"/>
          <w:szCs w:val="24"/>
        </w:rPr>
        <w:t>202</w:t>
      </w:r>
      <w:r w:rsidR="00164506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="00D35F78">
        <w:rPr>
          <w:rFonts w:ascii="宋体" w:hAnsi="宋体" w:cs="宋体"/>
          <w:color w:val="000000"/>
          <w:kern w:val="0"/>
          <w:sz w:val="24"/>
          <w:szCs w:val="24"/>
        </w:rPr>
        <w:t>年</w:t>
      </w:r>
      <w:r w:rsidR="002B2073">
        <w:rPr>
          <w:rFonts w:ascii="宋体" w:hAnsi="宋体" w:cs="宋体"/>
          <w:color w:val="000000"/>
          <w:kern w:val="0"/>
          <w:sz w:val="24"/>
          <w:szCs w:val="24"/>
        </w:rPr>
        <w:t>6</w:t>
      </w:r>
      <w:r>
        <w:rPr>
          <w:rFonts w:ascii="宋体" w:hAnsi="宋体" w:cs="宋体"/>
          <w:color w:val="000000"/>
          <w:kern w:val="0"/>
          <w:sz w:val="24"/>
          <w:szCs w:val="24"/>
        </w:rPr>
        <w:t>月</w:t>
      </w:r>
      <w:r w:rsidR="002B2073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="005042ED">
        <w:rPr>
          <w:rFonts w:ascii="宋体" w:hAnsi="宋体" w:cs="宋体"/>
          <w:color w:val="000000"/>
          <w:kern w:val="0"/>
          <w:sz w:val="24"/>
          <w:szCs w:val="24"/>
        </w:rPr>
        <w:t>7</w:t>
      </w:r>
      <w:r>
        <w:rPr>
          <w:rFonts w:ascii="宋体" w:hAnsi="宋体" w:cs="宋体"/>
          <w:color w:val="000000"/>
          <w:kern w:val="0"/>
          <w:sz w:val="24"/>
          <w:szCs w:val="24"/>
        </w:rPr>
        <w:t>日</w:t>
      </w:r>
    </w:p>
    <w:sectPr w:rsidR="00DE30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D3" w:rsidRDefault="007A69D3" w:rsidP="006B7C74">
      <w:r>
        <w:separator/>
      </w:r>
    </w:p>
  </w:endnote>
  <w:endnote w:type="continuationSeparator" w:id="0">
    <w:p w:rsidR="007A69D3" w:rsidRDefault="007A69D3" w:rsidP="006B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D3" w:rsidRDefault="007A69D3" w:rsidP="006B7C74">
      <w:r>
        <w:separator/>
      </w:r>
    </w:p>
  </w:footnote>
  <w:footnote w:type="continuationSeparator" w:id="0">
    <w:p w:rsidR="007A69D3" w:rsidRDefault="007A69D3" w:rsidP="006B7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B63"/>
    <w:rsid w:val="00000B69"/>
    <w:rsid w:val="00007694"/>
    <w:rsid w:val="00021711"/>
    <w:rsid w:val="00033233"/>
    <w:rsid w:val="000414F1"/>
    <w:rsid w:val="00041A92"/>
    <w:rsid w:val="00042B8A"/>
    <w:rsid w:val="00044729"/>
    <w:rsid w:val="000516B6"/>
    <w:rsid w:val="00055227"/>
    <w:rsid w:val="00055FF8"/>
    <w:rsid w:val="00056D27"/>
    <w:rsid w:val="0006040A"/>
    <w:rsid w:val="000616FD"/>
    <w:rsid w:val="00065DD1"/>
    <w:rsid w:val="00070748"/>
    <w:rsid w:val="000716A1"/>
    <w:rsid w:val="000747CE"/>
    <w:rsid w:val="000761CE"/>
    <w:rsid w:val="00095382"/>
    <w:rsid w:val="00095539"/>
    <w:rsid w:val="000A022F"/>
    <w:rsid w:val="000A1818"/>
    <w:rsid w:val="000A6FE5"/>
    <w:rsid w:val="000B21D2"/>
    <w:rsid w:val="000B56E4"/>
    <w:rsid w:val="000D4293"/>
    <w:rsid w:val="000D5292"/>
    <w:rsid w:val="000D5316"/>
    <w:rsid w:val="000F7C74"/>
    <w:rsid w:val="001027BA"/>
    <w:rsid w:val="00103B2E"/>
    <w:rsid w:val="00131595"/>
    <w:rsid w:val="001367EA"/>
    <w:rsid w:val="00150D1F"/>
    <w:rsid w:val="001512F0"/>
    <w:rsid w:val="001548A3"/>
    <w:rsid w:val="0016075D"/>
    <w:rsid w:val="00161064"/>
    <w:rsid w:val="001644CE"/>
    <w:rsid w:val="00164506"/>
    <w:rsid w:val="00166058"/>
    <w:rsid w:val="00176295"/>
    <w:rsid w:val="00177005"/>
    <w:rsid w:val="00183C61"/>
    <w:rsid w:val="0018785C"/>
    <w:rsid w:val="00197343"/>
    <w:rsid w:val="001A1CE3"/>
    <w:rsid w:val="001A3C5F"/>
    <w:rsid w:val="001A466B"/>
    <w:rsid w:val="001A4EC2"/>
    <w:rsid w:val="001A56B1"/>
    <w:rsid w:val="001A5C18"/>
    <w:rsid w:val="001A6AC5"/>
    <w:rsid w:val="001A6CCC"/>
    <w:rsid w:val="001A7D68"/>
    <w:rsid w:val="001B47EA"/>
    <w:rsid w:val="001C0A6C"/>
    <w:rsid w:val="001E6132"/>
    <w:rsid w:val="001E7F86"/>
    <w:rsid w:val="001F0985"/>
    <w:rsid w:val="001F4358"/>
    <w:rsid w:val="001F5BA2"/>
    <w:rsid w:val="002002E7"/>
    <w:rsid w:val="00202026"/>
    <w:rsid w:val="00214886"/>
    <w:rsid w:val="00220850"/>
    <w:rsid w:val="00220AA6"/>
    <w:rsid w:val="0022238F"/>
    <w:rsid w:val="00223A06"/>
    <w:rsid w:val="0022476A"/>
    <w:rsid w:val="00227A24"/>
    <w:rsid w:val="00237E1D"/>
    <w:rsid w:val="00240FC4"/>
    <w:rsid w:val="00241F4F"/>
    <w:rsid w:val="00250104"/>
    <w:rsid w:val="002601DF"/>
    <w:rsid w:val="002632F2"/>
    <w:rsid w:val="00270888"/>
    <w:rsid w:val="00271962"/>
    <w:rsid w:val="00272E70"/>
    <w:rsid w:val="0027672C"/>
    <w:rsid w:val="002801AD"/>
    <w:rsid w:val="0028088F"/>
    <w:rsid w:val="00282A8C"/>
    <w:rsid w:val="0028531D"/>
    <w:rsid w:val="00285EF7"/>
    <w:rsid w:val="00290437"/>
    <w:rsid w:val="002927DC"/>
    <w:rsid w:val="002929F0"/>
    <w:rsid w:val="002953F1"/>
    <w:rsid w:val="002A5F03"/>
    <w:rsid w:val="002B2073"/>
    <w:rsid w:val="002B4018"/>
    <w:rsid w:val="002C154B"/>
    <w:rsid w:val="002C2992"/>
    <w:rsid w:val="002C3F9F"/>
    <w:rsid w:val="002C6322"/>
    <w:rsid w:val="002D5DD2"/>
    <w:rsid w:val="002E021C"/>
    <w:rsid w:val="002E0E18"/>
    <w:rsid w:val="002E28BB"/>
    <w:rsid w:val="002E5B10"/>
    <w:rsid w:val="002F0873"/>
    <w:rsid w:val="002F31F8"/>
    <w:rsid w:val="00300408"/>
    <w:rsid w:val="00301253"/>
    <w:rsid w:val="00307000"/>
    <w:rsid w:val="0031419B"/>
    <w:rsid w:val="003369F1"/>
    <w:rsid w:val="00336CF9"/>
    <w:rsid w:val="00337520"/>
    <w:rsid w:val="00340636"/>
    <w:rsid w:val="003467B2"/>
    <w:rsid w:val="00351B84"/>
    <w:rsid w:val="00355BD6"/>
    <w:rsid w:val="0035753A"/>
    <w:rsid w:val="003612F4"/>
    <w:rsid w:val="00365F09"/>
    <w:rsid w:val="003721E0"/>
    <w:rsid w:val="00382DD8"/>
    <w:rsid w:val="00384BD4"/>
    <w:rsid w:val="003871ED"/>
    <w:rsid w:val="00393463"/>
    <w:rsid w:val="003936EC"/>
    <w:rsid w:val="003A785D"/>
    <w:rsid w:val="003B0E10"/>
    <w:rsid w:val="003B3A79"/>
    <w:rsid w:val="003B5D92"/>
    <w:rsid w:val="003C3448"/>
    <w:rsid w:val="003C4100"/>
    <w:rsid w:val="003D04FA"/>
    <w:rsid w:val="003E544D"/>
    <w:rsid w:val="003E5E74"/>
    <w:rsid w:val="003E726F"/>
    <w:rsid w:val="003E7A40"/>
    <w:rsid w:val="003F037B"/>
    <w:rsid w:val="003F252C"/>
    <w:rsid w:val="003F3F80"/>
    <w:rsid w:val="003F6A9C"/>
    <w:rsid w:val="0041533E"/>
    <w:rsid w:val="00434169"/>
    <w:rsid w:val="00436D7C"/>
    <w:rsid w:val="004449E3"/>
    <w:rsid w:val="00462EB0"/>
    <w:rsid w:val="00473854"/>
    <w:rsid w:val="00474749"/>
    <w:rsid w:val="00475494"/>
    <w:rsid w:val="00476B7F"/>
    <w:rsid w:val="004810D2"/>
    <w:rsid w:val="0048438E"/>
    <w:rsid w:val="0049495E"/>
    <w:rsid w:val="00496B78"/>
    <w:rsid w:val="004A17AB"/>
    <w:rsid w:val="004A2946"/>
    <w:rsid w:val="004B48D4"/>
    <w:rsid w:val="004D3143"/>
    <w:rsid w:val="004D3F82"/>
    <w:rsid w:val="004D40E8"/>
    <w:rsid w:val="004D5198"/>
    <w:rsid w:val="004E0496"/>
    <w:rsid w:val="004F0CAD"/>
    <w:rsid w:val="004F1986"/>
    <w:rsid w:val="004F3854"/>
    <w:rsid w:val="00501F7A"/>
    <w:rsid w:val="005042ED"/>
    <w:rsid w:val="0050754E"/>
    <w:rsid w:val="00516888"/>
    <w:rsid w:val="00522214"/>
    <w:rsid w:val="00523137"/>
    <w:rsid w:val="00527752"/>
    <w:rsid w:val="005320CC"/>
    <w:rsid w:val="0055222F"/>
    <w:rsid w:val="00554C8F"/>
    <w:rsid w:val="005565E8"/>
    <w:rsid w:val="0055738A"/>
    <w:rsid w:val="00563990"/>
    <w:rsid w:val="00573A47"/>
    <w:rsid w:val="00580980"/>
    <w:rsid w:val="00583E99"/>
    <w:rsid w:val="00584000"/>
    <w:rsid w:val="00585234"/>
    <w:rsid w:val="005961F2"/>
    <w:rsid w:val="005A2D3B"/>
    <w:rsid w:val="005A4F64"/>
    <w:rsid w:val="005B1FA6"/>
    <w:rsid w:val="005B586F"/>
    <w:rsid w:val="005C708C"/>
    <w:rsid w:val="005D4CE1"/>
    <w:rsid w:val="005E0FAC"/>
    <w:rsid w:val="005E28FE"/>
    <w:rsid w:val="005E7AD7"/>
    <w:rsid w:val="005F0A08"/>
    <w:rsid w:val="005F6E28"/>
    <w:rsid w:val="006008D1"/>
    <w:rsid w:val="00620844"/>
    <w:rsid w:val="0062209B"/>
    <w:rsid w:val="00623EDB"/>
    <w:rsid w:val="006263F3"/>
    <w:rsid w:val="00636B39"/>
    <w:rsid w:val="00636F72"/>
    <w:rsid w:val="00640214"/>
    <w:rsid w:val="00640918"/>
    <w:rsid w:val="00642AA2"/>
    <w:rsid w:val="0066477B"/>
    <w:rsid w:val="006658E4"/>
    <w:rsid w:val="00677189"/>
    <w:rsid w:val="00677458"/>
    <w:rsid w:val="00677644"/>
    <w:rsid w:val="006804A8"/>
    <w:rsid w:val="00681D5E"/>
    <w:rsid w:val="00684922"/>
    <w:rsid w:val="00690571"/>
    <w:rsid w:val="00690825"/>
    <w:rsid w:val="0069320C"/>
    <w:rsid w:val="006A758C"/>
    <w:rsid w:val="006A7B2D"/>
    <w:rsid w:val="006B2964"/>
    <w:rsid w:val="006B3091"/>
    <w:rsid w:val="006B6B15"/>
    <w:rsid w:val="006B7C74"/>
    <w:rsid w:val="006C52AE"/>
    <w:rsid w:val="006D0D0F"/>
    <w:rsid w:val="006D31B5"/>
    <w:rsid w:val="006D35ED"/>
    <w:rsid w:val="006D43D4"/>
    <w:rsid w:val="006D4B01"/>
    <w:rsid w:val="006D50B0"/>
    <w:rsid w:val="006E351F"/>
    <w:rsid w:val="006E4FC6"/>
    <w:rsid w:val="006E7DBB"/>
    <w:rsid w:val="006E7EFC"/>
    <w:rsid w:val="006F0DF3"/>
    <w:rsid w:val="006F61B6"/>
    <w:rsid w:val="006F7B63"/>
    <w:rsid w:val="007044F5"/>
    <w:rsid w:val="0071080D"/>
    <w:rsid w:val="00710FF7"/>
    <w:rsid w:val="007229C9"/>
    <w:rsid w:val="00723D92"/>
    <w:rsid w:val="007344B3"/>
    <w:rsid w:val="00740654"/>
    <w:rsid w:val="00752A9A"/>
    <w:rsid w:val="0076442E"/>
    <w:rsid w:val="0076467D"/>
    <w:rsid w:val="0076553E"/>
    <w:rsid w:val="00775D16"/>
    <w:rsid w:val="00777C77"/>
    <w:rsid w:val="0078110E"/>
    <w:rsid w:val="00781CD6"/>
    <w:rsid w:val="007846F0"/>
    <w:rsid w:val="007A4C66"/>
    <w:rsid w:val="007A69D3"/>
    <w:rsid w:val="007B5132"/>
    <w:rsid w:val="007B575A"/>
    <w:rsid w:val="007C05F3"/>
    <w:rsid w:val="007C1E61"/>
    <w:rsid w:val="007C38AF"/>
    <w:rsid w:val="007C39AB"/>
    <w:rsid w:val="007C3EEC"/>
    <w:rsid w:val="007C4C41"/>
    <w:rsid w:val="007C5291"/>
    <w:rsid w:val="007D0F6D"/>
    <w:rsid w:val="007D6599"/>
    <w:rsid w:val="007D7C36"/>
    <w:rsid w:val="007E73F2"/>
    <w:rsid w:val="0080644F"/>
    <w:rsid w:val="00811708"/>
    <w:rsid w:val="00814B0E"/>
    <w:rsid w:val="0081542F"/>
    <w:rsid w:val="00820BB0"/>
    <w:rsid w:val="00821AA3"/>
    <w:rsid w:val="00822EBD"/>
    <w:rsid w:val="00824AC4"/>
    <w:rsid w:val="00825A30"/>
    <w:rsid w:val="00836FCB"/>
    <w:rsid w:val="008518EC"/>
    <w:rsid w:val="00867219"/>
    <w:rsid w:val="00867ABD"/>
    <w:rsid w:val="00870542"/>
    <w:rsid w:val="008739E8"/>
    <w:rsid w:val="00875745"/>
    <w:rsid w:val="00876619"/>
    <w:rsid w:val="00877E64"/>
    <w:rsid w:val="00881B08"/>
    <w:rsid w:val="00882608"/>
    <w:rsid w:val="008875CE"/>
    <w:rsid w:val="00894E4D"/>
    <w:rsid w:val="008A42E1"/>
    <w:rsid w:val="008A60D1"/>
    <w:rsid w:val="008B438E"/>
    <w:rsid w:val="008C4E0C"/>
    <w:rsid w:val="008C5722"/>
    <w:rsid w:val="008D28AE"/>
    <w:rsid w:val="008E0103"/>
    <w:rsid w:val="008E0F28"/>
    <w:rsid w:val="008F1DE0"/>
    <w:rsid w:val="008F43DC"/>
    <w:rsid w:val="008F480A"/>
    <w:rsid w:val="009017E8"/>
    <w:rsid w:val="00901A98"/>
    <w:rsid w:val="0091397D"/>
    <w:rsid w:val="00915708"/>
    <w:rsid w:val="00921F48"/>
    <w:rsid w:val="009255AE"/>
    <w:rsid w:val="00930545"/>
    <w:rsid w:val="00935F19"/>
    <w:rsid w:val="00937722"/>
    <w:rsid w:val="00945207"/>
    <w:rsid w:val="00955EAB"/>
    <w:rsid w:val="00960755"/>
    <w:rsid w:val="009736C5"/>
    <w:rsid w:val="00974C2C"/>
    <w:rsid w:val="00985946"/>
    <w:rsid w:val="009870B7"/>
    <w:rsid w:val="00993E87"/>
    <w:rsid w:val="00996083"/>
    <w:rsid w:val="00996DE6"/>
    <w:rsid w:val="009976BD"/>
    <w:rsid w:val="009A1A8C"/>
    <w:rsid w:val="009A2A8A"/>
    <w:rsid w:val="009A7378"/>
    <w:rsid w:val="009A77A5"/>
    <w:rsid w:val="009B1EBB"/>
    <w:rsid w:val="009C3276"/>
    <w:rsid w:val="009C5955"/>
    <w:rsid w:val="009C5EEB"/>
    <w:rsid w:val="009D5711"/>
    <w:rsid w:val="009D6378"/>
    <w:rsid w:val="009D6B46"/>
    <w:rsid w:val="009E13C7"/>
    <w:rsid w:val="009E40B4"/>
    <w:rsid w:val="009E7BEB"/>
    <w:rsid w:val="009F0A66"/>
    <w:rsid w:val="009F7DBC"/>
    <w:rsid w:val="00A00342"/>
    <w:rsid w:val="00A01CED"/>
    <w:rsid w:val="00A02F7F"/>
    <w:rsid w:val="00A03C2E"/>
    <w:rsid w:val="00A1294B"/>
    <w:rsid w:val="00A13852"/>
    <w:rsid w:val="00A24808"/>
    <w:rsid w:val="00A25AEF"/>
    <w:rsid w:val="00A27D9D"/>
    <w:rsid w:val="00A31F85"/>
    <w:rsid w:val="00A327FE"/>
    <w:rsid w:val="00A435E0"/>
    <w:rsid w:val="00A74994"/>
    <w:rsid w:val="00A875C2"/>
    <w:rsid w:val="00AC1D02"/>
    <w:rsid w:val="00AC25C7"/>
    <w:rsid w:val="00AD0971"/>
    <w:rsid w:val="00AD0BAC"/>
    <w:rsid w:val="00AE1FD4"/>
    <w:rsid w:val="00AE21BD"/>
    <w:rsid w:val="00AF38CF"/>
    <w:rsid w:val="00B16CC3"/>
    <w:rsid w:val="00B22103"/>
    <w:rsid w:val="00B377FC"/>
    <w:rsid w:val="00B5037C"/>
    <w:rsid w:val="00B50964"/>
    <w:rsid w:val="00B606B9"/>
    <w:rsid w:val="00B63E39"/>
    <w:rsid w:val="00B6536E"/>
    <w:rsid w:val="00B6549D"/>
    <w:rsid w:val="00B734F2"/>
    <w:rsid w:val="00B84A0C"/>
    <w:rsid w:val="00B85F5A"/>
    <w:rsid w:val="00B9067D"/>
    <w:rsid w:val="00B963DC"/>
    <w:rsid w:val="00BB081F"/>
    <w:rsid w:val="00BB597D"/>
    <w:rsid w:val="00BC323E"/>
    <w:rsid w:val="00BC4669"/>
    <w:rsid w:val="00BC70C2"/>
    <w:rsid w:val="00BC7DDE"/>
    <w:rsid w:val="00BD31F0"/>
    <w:rsid w:val="00BD6E5E"/>
    <w:rsid w:val="00BE0CEE"/>
    <w:rsid w:val="00BE35A0"/>
    <w:rsid w:val="00C04303"/>
    <w:rsid w:val="00C06B63"/>
    <w:rsid w:val="00C0742E"/>
    <w:rsid w:val="00C10899"/>
    <w:rsid w:val="00C11130"/>
    <w:rsid w:val="00C27F11"/>
    <w:rsid w:val="00C36C69"/>
    <w:rsid w:val="00C40217"/>
    <w:rsid w:val="00C47030"/>
    <w:rsid w:val="00C50E37"/>
    <w:rsid w:val="00C52495"/>
    <w:rsid w:val="00C75DCC"/>
    <w:rsid w:val="00C762FE"/>
    <w:rsid w:val="00C76DD7"/>
    <w:rsid w:val="00C84685"/>
    <w:rsid w:val="00C850A2"/>
    <w:rsid w:val="00C85DA5"/>
    <w:rsid w:val="00CA65E9"/>
    <w:rsid w:val="00CB0756"/>
    <w:rsid w:val="00CB41C9"/>
    <w:rsid w:val="00CB5607"/>
    <w:rsid w:val="00CB7ECE"/>
    <w:rsid w:val="00CC1FC5"/>
    <w:rsid w:val="00CD01EC"/>
    <w:rsid w:val="00CD3BB1"/>
    <w:rsid w:val="00CD62F9"/>
    <w:rsid w:val="00CD731C"/>
    <w:rsid w:val="00CE52CA"/>
    <w:rsid w:val="00CF2DB0"/>
    <w:rsid w:val="00CF5E50"/>
    <w:rsid w:val="00D158D1"/>
    <w:rsid w:val="00D179A9"/>
    <w:rsid w:val="00D214B6"/>
    <w:rsid w:val="00D24961"/>
    <w:rsid w:val="00D31229"/>
    <w:rsid w:val="00D35F78"/>
    <w:rsid w:val="00D43341"/>
    <w:rsid w:val="00D47C59"/>
    <w:rsid w:val="00D5295E"/>
    <w:rsid w:val="00D53690"/>
    <w:rsid w:val="00D64014"/>
    <w:rsid w:val="00D666C3"/>
    <w:rsid w:val="00D67D98"/>
    <w:rsid w:val="00D759EC"/>
    <w:rsid w:val="00DA0472"/>
    <w:rsid w:val="00DC0AA2"/>
    <w:rsid w:val="00DC0B19"/>
    <w:rsid w:val="00DC1FA6"/>
    <w:rsid w:val="00DC6AF6"/>
    <w:rsid w:val="00DD2C2E"/>
    <w:rsid w:val="00DD37FD"/>
    <w:rsid w:val="00DD48D7"/>
    <w:rsid w:val="00DD56B1"/>
    <w:rsid w:val="00DD700C"/>
    <w:rsid w:val="00DE0757"/>
    <w:rsid w:val="00DE1218"/>
    <w:rsid w:val="00DE167D"/>
    <w:rsid w:val="00DE30EC"/>
    <w:rsid w:val="00DE491C"/>
    <w:rsid w:val="00DF0200"/>
    <w:rsid w:val="00DF5A0D"/>
    <w:rsid w:val="00E0366E"/>
    <w:rsid w:val="00E03D0B"/>
    <w:rsid w:val="00E04769"/>
    <w:rsid w:val="00E05C69"/>
    <w:rsid w:val="00E07DED"/>
    <w:rsid w:val="00E1144C"/>
    <w:rsid w:val="00E1219D"/>
    <w:rsid w:val="00E12F8D"/>
    <w:rsid w:val="00E153AD"/>
    <w:rsid w:val="00E15B71"/>
    <w:rsid w:val="00E237B4"/>
    <w:rsid w:val="00E23EA7"/>
    <w:rsid w:val="00E27778"/>
    <w:rsid w:val="00E32E4A"/>
    <w:rsid w:val="00E350F4"/>
    <w:rsid w:val="00E42157"/>
    <w:rsid w:val="00E464BF"/>
    <w:rsid w:val="00E51217"/>
    <w:rsid w:val="00E51855"/>
    <w:rsid w:val="00E76064"/>
    <w:rsid w:val="00E82FF2"/>
    <w:rsid w:val="00E833B0"/>
    <w:rsid w:val="00E91609"/>
    <w:rsid w:val="00E958CA"/>
    <w:rsid w:val="00EA1C23"/>
    <w:rsid w:val="00EB2CF0"/>
    <w:rsid w:val="00EC04E0"/>
    <w:rsid w:val="00EC3011"/>
    <w:rsid w:val="00EC441F"/>
    <w:rsid w:val="00EC4617"/>
    <w:rsid w:val="00EC5415"/>
    <w:rsid w:val="00ED34D6"/>
    <w:rsid w:val="00ED3E2A"/>
    <w:rsid w:val="00ED5D37"/>
    <w:rsid w:val="00EE028E"/>
    <w:rsid w:val="00EE77E8"/>
    <w:rsid w:val="00EF3395"/>
    <w:rsid w:val="00F17D87"/>
    <w:rsid w:val="00F22B5F"/>
    <w:rsid w:val="00F32ED4"/>
    <w:rsid w:val="00F348DE"/>
    <w:rsid w:val="00F36565"/>
    <w:rsid w:val="00F40C1C"/>
    <w:rsid w:val="00F413C6"/>
    <w:rsid w:val="00F466E9"/>
    <w:rsid w:val="00F513E3"/>
    <w:rsid w:val="00F76004"/>
    <w:rsid w:val="00F770E2"/>
    <w:rsid w:val="00F77ADA"/>
    <w:rsid w:val="00F82EE7"/>
    <w:rsid w:val="00F95116"/>
    <w:rsid w:val="00F97E76"/>
    <w:rsid w:val="00FA5653"/>
    <w:rsid w:val="00FA64C3"/>
    <w:rsid w:val="00FB65F5"/>
    <w:rsid w:val="00FC0A11"/>
    <w:rsid w:val="00FC5BBD"/>
    <w:rsid w:val="00FC7F36"/>
    <w:rsid w:val="00FD5387"/>
    <w:rsid w:val="00FF0574"/>
    <w:rsid w:val="00FF2DFF"/>
    <w:rsid w:val="00FF3232"/>
    <w:rsid w:val="00FF7265"/>
    <w:rsid w:val="069D3983"/>
    <w:rsid w:val="0BC425EB"/>
    <w:rsid w:val="0EBF1B7D"/>
    <w:rsid w:val="0EDC46DD"/>
    <w:rsid w:val="207F3D0A"/>
    <w:rsid w:val="3B0F485F"/>
    <w:rsid w:val="3D6F7195"/>
    <w:rsid w:val="5F9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批注主题 Char"/>
    <w:link w:val="a4"/>
    <w:uiPriority w:val="99"/>
    <w:semiHidden/>
    <w:rPr>
      <w:b/>
      <w:bCs/>
      <w:kern w:val="2"/>
      <w:sz w:val="21"/>
      <w:szCs w:val="22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正文文本 2 Char"/>
    <w:link w:val="2"/>
    <w:rPr>
      <w:rFonts w:ascii="Times New Roman" w:hAnsi="Times New Roman"/>
      <w:kern w:val="2"/>
      <w:sz w:val="24"/>
    </w:rPr>
  </w:style>
  <w:style w:type="character" w:customStyle="1" w:styleId="HTMLChar">
    <w:name w:val="HTML 预设格式 Char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aliases w:val="超级链接"/>
    <w:uiPriority w:val="99"/>
    <w:unhideWhenUsed/>
    <w:qFormat/>
    <w:rPr>
      <w:color w:val="0000FF"/>
      <w:u w:val="single"/>
    </w:rPr>
  </w:style>
  <w:style w:type="character" w:styleId="a7">
    <w:name w:val="annotation reference"/>
    <w:uiPriority w:val="99"/>
    <w:unhideWhenUsed/>
    <w:rPr>
      <w:sz w:val="21"/>
      <w:szCs w:val="21"/>
    </w:rPr>
  </w:style>
  <w:style w:type="character" w:customStyle="1" w:styleId="Char2">
    <w:name w:val="批注文字 Char"/>
    <w:link w:val="a8"/>
    <w:uiPriority w:val="99"/>
    <w:semiHidden/>
    <w:rPr>
      <w:kern w:val="2"/>
      <w:sz w:val="21"/>
      <w:szCs w:val="22"/>
    </w:rPr>
  </w:style>
  <w:style w:type="character" w:customStyle="1" w:styleId="txtcontent11">
    <w:name w:val="txtcontent11"/>
    <w:rPr>
      <w:rFonts w:ascii="ˎ̥" w:hAnsi="ˎ̥" w:hint="default"/>
      <w:b w:val="0"/>
      <w:bCs w:val="0"/>
      <w:color w:val="000000"/>
      <w:sz w:val="17"/>
      <w:szCs w:val="17"/>
    </w:rPr>
  </w:style>
  <w:style w:type="character" w:customStyle="1" w:styleId="Char3">
    <w:name w:val="批注框文本 Char"/>
    <w:link w:val="a9"/>
    <w:uiPriority w:val="99"/>
    <w:semiHidden/>
    <w:rPr>
      <w:kern w:val="2"/>
      <w:sz w:val="18"/>
      <w:szCs w:val="18"/>
    </w:rPr>
  </w:style>
  <w:style w:type="paragraph" w:styleId="a9">
    <w:name w:val="Balloon Text"/>
    <w:basedOn w:val="a"/>
    <w:link w:val="Char3"/>
    <w:uiPriority w:val="99"/>
    <w:unhideWhenUsed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pPr>
      <w:jc w:val="left"/>
    </w:pPr>
  </w:style>
  <w:style w:type="paragraph" w:styleId="a4">
    <w:name w:val="annotation subject"/>
    <w:basedOn w:val="a8"/>
    <w:next w:val="a8"/>
    <w:link w:val="Char0"/>
    <w:uiPriority w:val="99"/>
    <w:unhideWhenUsed/>
    <w:rPr>
      <w:b/>
      <w:bCs/>
    </w:rPr>
  </w:style>
  <w:style w:type="paragraph" w:styleId="2">
    <w:name w:val="Body Text 2"/>
    <w:basedOn w:val="a"/>
    <w:link w:val="2Char"/>
    <w:rPr>
      <w:rFonts w:ascii="Times New Roman" w:hAnsi="Times New Roman"/>
      <w:sz w:val="24"/>
      <w:szCs w:val="20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unhideWhenUsed/>
    <w:rsid w:val="00C84685"/>
    <w:pPr>
      <w:ind w:firstLineChars="200" w:firstLine="420"/>
    </w:pPr>
    <w:rPr>
      <w:rFonts w:ascii="Times New Roman" w:hAnsi="Times New Roman"/>
      <w:szCs w:val="24"/>
    </w:rPr>
  </w:style>
  <w:style w:type="character" w:customStyle="1" w:styleId="ac">
    <w:name w:val="未处理的提及"/>
    <w:uiPriority w:val="99"/>
    <w:semiHidden/>
    <w:unhideWhenUsed/>
    <w:rsid w:val="00F413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encefu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1582</Characters>
  <Application>Microsoft Office Word</Application>
  <DocSecurity>4</DocSecurity>
  <PresentationFormat/>
  <Lines>13</Lines>
  <Paragraphs>3</Paragraphs>
  <Slides>0</Slides>
  <Notes>0</Notes>
  <HiddenSlides>0</HiddenSlides>
  <MMClips>0</MMClips>
  <ScaleCrop>false</ScaleCrop>
  <Manager/>
  <Company/>
  <LinksUpToDate>false</LinksUpToDate>
  <CharactersWithSpaces>1856</CharactersWithSpaces>
  <SharedDoc>false</SharedDoc>
  <HLinks>
    <vt:vector size="6" baseType="variant"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http://www.essencefund.com/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刘亦璇</dc:creator>
  <cp:keywords/>
  <dc:description/>
  <cp:lastModifiedBy>ZHONGM</cp:lastModifiedBy>
  <cp:revision>2</cp:revision>
  <cp:lastPrinted>2012-11-14T02:03:00Z</cp:lastPrinted>
  <dcterms:created xsi:type="dcterms:W3CDTF">2022-06-26T16:01:00Z</dcterms:created>
  <dcterms:modified xsi:type="dcterms:W3CDTF">2022-06-26T16:01:00Z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