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88" w:rsidRDefault="002A0E88">
      <w:pPr>
        <w:jc w:val="center"/>
        <w:rPr>
          <w:rFonts w:ascii="宋体" w:hAnsi="宋体"/>
          <w:b/>
          <w:bCs/>
          <w:color w:val="000000"/>
          <w:sz w:val="32"/>
        </w:rPr>
      </w:pPr>
      <w:r>
        <w:rPr>
          <w:rFonts w:ascii="宋体" w:hAnsi="宋体" w:hint="eastAsia"/>
          <w:b/>
          <w:bCs/>
          <w:color w:val="000000"/>
          <w:sz w:val="32"/>
        </w:rPr>
        <w:t>上海东方证券资产管理有限公司</w:t>
      </w:r>
    </w:p>
    <w:p w:rsidR="002A0E88" w:rsidRPr="0074003F" w:rsidRDefault="002A0E88">
      <w:pPr>
        <w:jc w:val="center"/>
        <w:rPr>
          <w:rFonts w:ascii="宋体" w:hAnsi="宋体" w:hint="eastAsia"/>
          <w:b/>
          <w:bCs/>
          <w:color w:val="000000"/>
          <w:sz w:val="32"/>
        </w:rPr>
      </w:pPr>
      <w:r>
        <w:rPr>
          <w:rFonts w:ascii="宋体" w:hAnsi="宋体" w:hint="eastAsia"/>
          <w:b/>
          <w:bCs/>
          <w:color w:val="000000"/>
          <w:sz w:val="32"/>
        </w:rPr>
        <w:t>关于旗下部分基金增加</w:t>
      </w:r>
      <w:r w:rsidR="009B6BAB" w:rsidRPr="000F22CE">
        <w:rPr>
          <w:rFonts w:ascii="宋体" w:hAnsi="宋体" w:hint="eastAsia"/>
          <w:b/>
          <w:bCs/>
          <w:color w:val="000000"/>
          <w:sz w:val="32"/>
        </w:rPr>
        <w:t>宁波银行股份有限公司</w:t>
      </w:r>
      <w:r>
        <w:rPr>
          <w:rFonts w:ascii="宋体" w:hAnsi="宋体" w:hint="eastAsia"/>
          <w:b/>
          <w:bCs/>
          <w:color w:val="000000"/>
          <w:sz w:val="32"/>
        </w:rPr>
        <w:t>为代理销售机构并开通</w:t>
      </w:r>
      <w:r>
        <w:rPr>
          <w:rFonts w:ascii="宋体" w:hAnsi="宋体"/>
          <w:b/>
          <w:bCs/>
          <w:color w:val="000000"/>
          <w:sz w:val="32"/>
        </w:rPr>
        <w:t>定投业务</w:t>
      </w:r>
      <w:r w:rsidRPr="0074003F">
        <w:rPr>
          <w:rFonts w:ascii="宋体" w:hAnsi="宋体" w:hint="eastAsia"/>
          <w:b/>
          <w:bCs/>
          <w:color w:val="000000"/>
          <w:sz w:val="32"/>
        </w:rPr>
        <w:t>的公告</w:t>
      </w:r>
    </w:p>
    <w:p w:rsidR="002A0E88" w:rsidRDefault="002A0E88">
      <w:pPr>
        <w:jc w:val="center"/>
        <w:rPr>
          <w:rFonts w:ascii="宋体" w:hAnsi="宋体"/>
          <w:b/>
          <w:bCs/>
          <w:color w:val="000000"/>
          <w:sz w:val="32"/>
        </w:rPr>
      </w:pPr>
    </w:p>
    <w:p w:rsidR="002A0E88" w:rsidRDefault="002A0E88">
      <w:pPr>
        <w:spacing w:line="360" w:lineRule="auto"/>
        <w:ind w:firstLineChars="200" w:firstLine="480"/>
        <w:outlineLvl w:val="0"/>
        <w:rPr>
          <w:rFonts w:ascii="宋体" w:hAnsi="宋体"/>
          <w:sz w:val="24"/>
          <w:szCs w:val="24"/>
        </w:rPr>
      </w:pPr>
      <w:r>
        <w:rPr>
          <w:rFonts w:ascii="宋体" w:hAnsi="宋体" w:hint="eastAsia"/>
          <w:sz w:val="24"/>
          <w:szCs w:val="24"/>
        </w:rPr>
        <w:t>上海东方证券资产管理有限公司</w:t>
      </w:r>
      <w:r>
        <w:rPr>
          <w:rFonts w:ascii="宋体" w:hAnsi="宋体"/>
          <w:sz w:val="24"/>
          <w:szCs w:val="24"/>
        </w:rPr>
        <w:t>（以下简称本公司）</w:t>
      </w:r>
      <w:r>
        <w:rPr>
          <w:rFonts w:ascii="宋体" w:hAnsi="宋体" w:hint="eastAsia"/>
          <w:sz w:val="24"/>
          <w:szCs w:val="24"/>
        </w:rPr>
        <w:t>经与</w:t>
      </w:r>
      <w:r w:rsidR="009B6BAB">
        <w:rPr>
          <w:rFonts w:ascii="宋体" w:hAnsi="宋体" w:hint="eastAsia"/>
          <w:sz w:val="24"/>
          <w:szCs w:val="24"/>
        </w:rPr>
        <w:t>宁波银行股份有限公司</w:t>
      </w:r>
      <w:r w:rsidR="00355BD1">
        <w:rPr>
          <w:rFonts w:ascii="宋体" w:hAnsi="宋体" w:hint="eastAsia"/>
          <w:sz w:val="24"/>
          <w:szCs w:val="24"/>
        </w:rPr>
        <w:t>（以下简称</w:t>
      </w:r>
      <w:r w:rsidR="009B6BAB">
        <w:rPr>
          <w:rFonts w:ascii="宋体" w:hAnsi="宋体" w:hint="eastAsia"/>
          <w:sz w:val="24"/>
          <w:szCs w:val="24"/>
        </w:rPr>
        <w:t>宁波银行</w:t>
      </w:r>
      <w:r>
        <w:rPr>
          <w:rFonts w:ascii="宋体" w:hAnsi="宋体" w:hint="eastAsia"/>
          <w:sz w:val="24"/>
          <w:szCs w:val="24"/>
        </w:rPr>
        <w:t>）协商，</w:t>
      </w:r>
      <w:r w:rsidR="009B6BAB">
        <w:rPr>
          <w:rFonts w:ascii="宋体" w:hAnsi="宋体" w:hint="eastAsia"/>
          <w:sz w:val="24"/>
          <w:szCs w:val="24"/>
        </w:rPr>
        <w:t>宁波银行</w:t>
      </w:r>
      <w:r>
        <w:rPr>
          <w:rFonts w:ascii="宋体" w:hAnsi="宋体" w:hint="eastAsia"/>
          <w:sz w:val="24"/>
          <w:szCs w:val="24"/>
        </w:rPr>
        <w:t>自</w:t>
      </w:r>
      <w:r w:rsidR="004F754B">
        <w:rPr>
          <w:rFonts w:ascii="宋体" w:hAnsi="宋体" w:hint="eastAsia"/>
          <w:sz w:val="24"/>
          <w:szCs w:val="24"/>
        </w:rPr>
        <w:t>20</w:t>
      </w:r>
      <w:r w:rsidR="004F754B">
        <w:rPr>
          <w:rFonts w:ascii="宋体" w:hAnsi="宋体"/>
          <w:sz w:val="24"/>
          <w:szCs w:val="24"/>
        </w:rPr>
        <w:t>22</w:t>
      </w:r>
      <w:r w:rsidR="004F754B">
        <w:rPr>
          <w:rFonts w:ascii="宋体" w:hAnsi="宋体" w:hint="eastAsia"/>
          <w:sz w:val="24"/>
          <w:szCs w:val="24"/>
        </w:rPr>
        <w:t>年</w:t>
      </w:r>
      <w:r w:rsidR="004F754B">
        <w:rPr>
          <w:rFonts w:ascii="宋体" w:hAnsi="宋体"/>
          <w:sz w:val="24"/>
          <w:szCs w:val="24"/>
        </w:rPr>
        <w:t>6</w:t>
      </w:r>
      <w:r w:rsidR="004F754B">
        <w:rPr>
          <w:rFonts w:ascii="宋体" w:hAnsi="宋体" w:hint="eastAsia"/>
          <w:sz w:val="24"/>
          <w:szCs w:val="24"/>
        </w:rPr>
        <w:t>月</w:t>
      </w:r>
      <w:r w:rsidR="004F754B">
        <w:rPr>
          <w:rFonts w:ascii="宋体" w:hAnsi="宋体"/>
          <w:sz w:val="24"/>
          <w:szCs w:val="24"/>
        </w:rPr>
        <w:t>24</w:t>
      </w:r>
      <w:r>
        <w:rPr>
          <w:rFonts w:ascii="宋体" w:hAnsi="宋体" w:hint="eastAsia"/>
          <w:sz w:val="24"/>
          <w:szCs w:val="24"/>
        </w:rPr>
        <w:t>日起（含）开始代理销售</w:t>
      </w:r>
      <w:r w:rsidR="008B0CE0">
        <w:rPr>
          <w:rFonts w:ascii="宋体" w:hAnsi="宋体" w:hint="eastAsia"/>
          <w:sz w:val="24"/>
          <w:szCs w:val="24"/>
        </w:rPr>
        <w:t>下列基金</w:t>
      </w:r>
      <w:r w:rsidR="0027417F">
        <w:rPr>
          <w:rFonts w:ascii="宋体" w:hAnsi="宋体" w:hint="eastAsia"/>
          <w:sz w:val="24"/>
          <w:szCs w:val="24"/>
        </w:rPr>
        <w:t>相关份额</w:t>
      </w:r>
      <w:r w:rsidR="008B0CE0">
        <w:rPr>
          <w:rFonts w:ascii="宋体" w:hAnsi="宋体" w:hint="eastAsia"/>
          <w:sz w:val="24"/>
          <w:szCs w:val="24"/>
        </w:rPr>
        <w:t>，</w:t>
      </w:r>
      <w:r>
        <w:rPr>
          <w:rFonts w:ascii="宋体" w:hAnsi="宋体" w:hint="eastAsia"/>
          <w:sz w:val="24"/>
          <w:szCs w:val="24"/>
        </w:rPr>
        <w:t>并同步开通</w:t>
      </w:r>
      <w:r w:rsidR="008B0CE0" w:rsidRPr="00F6010D">
        <w:rPr>
          <w:rFonts w:ascii="宋体" w:hAnsi="宋体" w:hint="eastAsia"/>
          <w:sz w:val="24"/>
          <w:szCs w:val="24"/>
        </w:rPr>
        <w:t>下列</w:t>
      </w:r>
      <w:r w:rsidR="000F131A" w:rsidRPr="00F6010D">
        <w:rPr>
          <w:rFonts w:ascii="宋体" w:hAnsi="宋体" w:hint="eastAsia"/>
          <w:sz w:val="24"/>
          <w:szCs w:val="24"/>
        </w:rPr>
        <w:t>部分</w:t>
      </w:r>
      <w:r w:rsidR="00CD0CF4" w:rsidRPr="00F6010D">
        <w:rPr>
          <w:rFonts w:ascii="宋体" w:hAnsi="宋体" w:hint="eastAsia"/>
          <w:sz w:val="24"/>
          <w:szCs w:val="24"/>
        </w:rPr>
        <w:t>基金</w:t>
      </w:r>
      <w:r w:rsidR="0027417F" w:rsidRPr="00F6010D">
        <w:rPr>
          <w:rFonts w:ascii="宋体" w:hAnsi="宋体" w:hint="eastAsia"/>
          <w:sz w:val="24"/>
          <w:szCs w:val="24"/>
        </w:rPr>
        <w:t>相</w:t>
      </w:r>
      <w:r w:rsidR="0027417F">
        <w:rPr>
          <w:rFonts w:ascii="宋体" w:hAnsi="宋体" w:hint="eastAsia"/>
          <w:sz w:val="24"/>
          <w:szCs w:val="24"/>
        </w:rPr>
        <w:t>关份额</w:t>
      </w:r>
      <w:r>
        <w:rPr>
          <w:rFonts w:ascii="宋体" w:hAnsi="宋体" w:hint="eastAsia"/>
          <w:sz w:val="24"/>
          <w:szCs w:val="24"/>
        </w:rPr>
        <w:t>在</w:t>
      </w:r>
      <w:r w:rsidR="009B6BAB">
        <w:rPr>
          <w:rFonts w:ascii="宋体" w:hAnsi="宋体" w:hint="eastAsia"/>
          <w:sz w:val="24"/>
          <w:szCs w:val="24"/>
        </w:rPr>
        <w:t>宁波银行</w:t>
      </w:r>
      <w:r>
        <w:rPr>
          <w:rFonts w:ascii="宋体" w:hAnsi="宋体" w:hint="eastAsia"/>
          <w:sz w:val="24"/>
          <w:szCs w:val="24"/>
        </w:rPr>
        <w:t>的定期定额投资业务。</w:t>
      </w:r>
      <w:r w:rsidR="008B0CE0">
        <w:rPr>
          <w:rFonts w:ascii="宋体" w:hAnsi="宋体" w:hint="eastAsia"/>
          <w:sz w:val="24"/>
          <w:szCs w:val="24"/>
        </w:rPr>
        <w:t>现将有关事项公告如下：</w:t>
      </w:r>
    </w:p>
    <w:p w:rsidR="00872017" w:rsidRPr="00872017" w:rsidRDefault="0027417F" w:rsidP="00872017">
      <w:pPr>
        <w:numPr>
          <w:ilvl w:val="0"/>
          <w:numId w:val="1"/>
        </w:numPr>
        <w:spacing w:line="360" w:lineRule="auto"/>
        <w:outlineLvl w:val="0"/>
        <w:rPr>
          <w:rFonts w:ascii="宋体" w:hAnsi="宋体"/>
          <w:b/>
          <w:sz w:val="24"/>
          <w:szCs w:val="24"/>
        </w:rPr>
      </w:pPr>
      <w:r>
        <w:rPr>
          <w:rFonts w:ascii="宋体" w:hAnsi="宋体" w:hint="eastAsia"/>
          <w:b/>
          <w:sz w:val="24"/>
          <w:szCs w:val="24"/>
        </w:rPr>
        <w:t>基金</w:t>
      </w:r>
      <w:r w:rsidR="008B0CE0" w:rsidRPr="008B0CE0">
        <w:rPr>
          <w:rFonts w:ascii="宋体" w:hAnsi="宋体" w:hint="eastAsia"/>
          <w:b/>
          <w:sz w:val="24"/>
          <w:szCs w:val="24"/>
        </w:rPr>
        <w:t>列表</w:t>
      </w:r>
    </w:p>
    <w:tbl>
      <w:tblPr>
        <w:tblW w:w="10208" w:type="dxa"/>
        <w:tblInd w:w="-602" w:type="dxa"/>
        <w:tblLook w:val="04A0"/>
      </w:tblPr>
      <w:tblGrid>
        <w:gridCol w:w="1540"/>
        <w:gridCol w:w="6683"/>
        <w:gridCol w:w="1985"/>
      </w:tblGrid>
      <w:tr w:rsidR="00CC1508" w:rsidRPr="004F754B" w:rsidTr="00F6010D">
        <w:trPr>
          <w:trHeight w:val="33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kern w:val="0"/>
                <w:sz w:val="22"/>
              </w:rPr>
            </w:pPr>
            <w:r w:rsidRPr="004F754B">
              <w:rPr>
                <w:rFonts w:ascii="宋体" w:hAnsi="宋体" w:cs="宋体" w:hint="eastAsia"/>
                <w:kern w:val="0"/>
                <w:sz w:val="22"/>
              </w:rPr>
              <w:t>基金代码</w:t>
            </w:r>
          </w:p>
        </w:tc>
        <w:tc>
          <w:tcPr>
            <w:tcW w:w="6683" w:type="dxa"/>
            <w:tcBorders>
              <w:top w:val="single" w:sz="4" w:space="0" w:color="auto"/>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基金</w:t>
            </w:r>
            <w:r>
              <w:rPr>
                <w:rFonts w:ascii="宋体" w:hAnsi="宋体" w:cs="宋体" w:hint="eastAsia"/>
                <w:kern w:val="0"/>
                <w:sz w:val="22"/>
              </w:rPr>
              <w:t>名</w:t>
            </w:r>
            <w:r w:rsidRPr="004F754B">
              <w:rPr>
                <w:rFonts w:ascii="宋体" w:hAnsi="宋体" w:cs="宋体" w:hint="eastAsia"/>
                <w:kern w:val="0"/>
                <w:sz w:val="22"/>
              </w:rPr>
              <w:t>称</w:t>
            </w:r>
          </w:p>
        </w:tc>
        <w:tc>
          <w:tcPr>
            <w:tcW w:w="1985" w:type="dxa"/>
            <w:tcBorders>
              <w:top w:val="single" w:sz="4" w:space="0" w:color="auto"/>
              <w:left w:val="nil"/>
              <w:bottom w:val="single" w:sz="4" w:space="0" w:color="auto"/>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r>
              <w:rPr>
                <w:rFonts w:ascii="宋体" w:hAnsi="宋体" w:cs="宋体" w:hint="eastAsia"/>
                <w:kern w:val="0"/>
                <w:sz w:val="22"/>
              </w:rPr>
              <w:t>是否开通定投业务</w:t>
            </w: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008428</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东方红鑫裕两年定期开放信用债债券型证券投资基金</w:t>
            </w:r>
          </w:p>
        </w:tc>
        <w:tc>
          <w:tcPr>
            <w:tcW w:w="1985" w:type="dxa"/>
            <w:vMerge w:val="restart"/>
            <w:tcBorders>
              <w:top w:val="nil"/>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r>
              <w:rPr>
                <w:rFonts w:ascii="宋体" w:hAnsi="宋体" w:cs="宋体" w:hint="eastAsia"/>
                <w:kern w:val="0"/>
                <w:sz w:val="22"/>
              </w:rPr>
              <w:t>否</w:t>
            </w: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009842</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东方红明鉴优选两年定期开放混合型证券投资基金</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010292</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东方红核心优选一年定期开放混合型证券投资基金（C类份额）</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010506</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东方红睿玺三年定期开放灵活配置混合型证券投资基金（C类份额）</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010700</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东方红锦丰优选两年定期开放混合型证券投资基金</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011032</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东方红睿泽三年定期开放灵活配置混合型证券投资基金（C类份额）</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278"/>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012439</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东方红睿和三年定期开放混合型证券投资基金（C类份额）</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169102</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东方红睿阳三年定期开放灵活配置混合型证券投资基金</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169103</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东方红睿轩三年定期开放灵活配置混合型证券投资基金</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278"/>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169109</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东方红睿和三年定期开放混合型证券投资基金（A类份额）</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501053</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东方红目标优选三年定期开放混合型证券投资基金</w:t>
            </w:r>
          </w:p>
        </w:tc>
        <w:tc>
          <w:tcPr>
            <w:tcW w:w="1985" w:type="dxa"/>
            <w:vMerge/>
            <w:tcBorders>
              <w:left w:val="nil"/>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C1508" w:rsidRPr="004F754B" w:rsidRDefault="00CC1508" w:rsidP="004F754B">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501066</w:t>
            </w:r>
          </w:p>
        </w:tc>
        <w:tc>
          <w:tcPr>
            <w:tcW w:w="6683" w:type="dxa"/>
            <w:tcBorders>
              <w:top w:val="nil"/>
              <w:left w:val="nil"/>
              <w:bottom w:val="single" w:sz="4" w:space="0" w:color="auto"/>
              <w:right w:val="single" w:sz="4" w:space="0" w:color="auto"/>
            </w:tcBorders>
            <w:shd w:val="clear" w:color="000000" w:fill="FFFFFF"/>
            <w:noWrap/>
            <w:vAlign w:val="bottom"/>
            <w:hideMark/>
          </w:tcPr>
          <w:p w:rsidR="00CC1508" w:rsidRPr="004F754B" w:rsidRDefault="00CC1508" w:rsidP="004F754B">
            <w:pPr>
              <w:widowControl/>
              <w:jc w:val="center"/>
              <w:rPr>
                <w:rFonts w:ascii="宋体" w:hAnsi="宋体" w:cs="宋体" w:hint="eastAsia"/>
                <w:kern w:val="0"/>
                <w:sz w:val="22"/>
              </w:rPr>
            </w:pPr>
            <w:r w:rsidRPr="004F754B">
              <w:rPr>
                <w:rFonts w:ascii="宋体" w:hAnsi="宋体" w:cs="宋体" w:hint="eastAsia"/>
                <w:kern w:val="0"/>
                <w:sz w:val="22"/>
              </w:rPr>
              <w:t>东方红恒元五年定期开放灵活配置混合型证券投资基金</w:t>
            </w:r>
          </w:p>
        </w:tc>
        <w:tc>
          <w:tcPr>
            <w:tcW w:w="1985" w:type="dxa"/>
            <w:vMerge/>
            <w:tcBorders>
              <w:left w:val="nil"/>
              <w:bottom w:val="single" w:sz="4" w:space="0" w:color="auto"/>
              <w:right w:val="single" w:sz="4" w:space="0" w:color="auto"/>
            </w:tcBorders>
            <w:shd w:val="clear" w:color="000000" w:fill="FFFFFF"/>
          </w:tcPr>
          <w:p w:rsidR="00CC1508" w:rsidRPr="004F754B" w:rsidRDefault="00CC1508" w:rsidP="004F754B">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009174</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东方红颐和稳健养老目标两年持有期混合型基金中基金（FOF）</w:t>
            </w:r>
          </w:p>
        </w:tc>
        <w:tc>
          <w:tcPr>
            <w:tcW w:w="1985" w:type="dxa"/>
            <w:vMerge w:val="restart"/>
            <w:tcBorders>
              <w:top w:val="single" w:sz="4" w:space="0" w:color="auto"/>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r>
              <w:rPr>
                <w:rFonts w:ascii="宋体" w:hAnsi="宋体" w:cs="宋体" w:hint="eastAsia"/>
                <w:kern w:val="0"/>
                <w:sz w:val="22"/>
              </w:rPr>
              <w:t>是</w:t>
            </w: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009183</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东方红颐和平衡养老目标三年持有期混合型基金中基金（FOF）</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009184</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东方红颐和积极养老目标五年持有期混合型基金中基金（FOF）</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011587</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东方红欣和平衡配置两年持有期混合型基金中基金（FOF）</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012088</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东方红锦和甄选18个月持有期混合型证券投资基金（A类份额）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012089</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东方红锦和甄选18个月持有期混合型证券投资基金（C类份额）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012839</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东方红智华三年持有期混合型证券投资基金（A类份额）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012840</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东方红智华三年持有期混合型证券投资基金（C类份额）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012949</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东方红招瑞甄选18个月持有期混合型证券投资基金（A类份额）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012950</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东方红招瑞甄选18个月持有期混合型证券投资基金（C类份额）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014888</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东方红锦融甄选18个月持有期混合型证券投资基金（A类份额）</w:t>
            </w:r>
          </w:p>
        </w:tc>
        <w:tc>
          <w:tcPr>
            <w:tcW w:w="1985" w:type="dxa"/>
            <w:vMerge/>
            <w:tcBorders>
              <w:left w:val="nil"/>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r w:rsidR="00CC1508" w:rsidRPr="004F754B" w:rsidTr="00F6010D">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1508" w:rsidRPr="004F754B" w:rsidRDefault="00CC1508" w:rsidP="00CC1508">
            <w:pPr>
              <w:widowControl/>
              <w:jc w:val="center"/>
              <w:rPr>
                <w:rFonts w:ascii="宋体" w:hAnsi="宋体" w:cs="宋体" w:hint="eastAsia"/>
                <w:color w:val="000000"/>
                <w:kern w:val="0"/>
                <w:sz w:val="22"/>
              </w:rPr>
            </w:pPr>
            <w:r w:rsidRPr="004F754B">
              <w:rPr>
                <w:rFonts w:ascii="宋体" w:hAnsi="宋体" w:cs="宋体" w:hint="eastAsia"/>
                <w:color w:val="000000"/>
                <w:kern w:val="0"/>
                <w:sz w:val="22"/>
              </w:rPr>
              <w:t>014889</w:t>
            </w:r>
          </w:p>
        </w:tc>
        <w:tc>
          <w:tcPr>
            <w:tcW w:w="6683" w:type="dxa"/>
            <w:tcBorders>
              <w:top w:val="single" w:sz="4" w:space="0" w:color="auto"/>
              <w:left w:val="nil"/>
              <w:bottom w:val="single" w:sz="4" w:space="0" w:color="auto"/>
              <w:right w:val="single" w:sz="4" w:space="0" w:color="auto"/>
            </w:tcBorders>
            <w:shd w:val="clear" w:color="000000" w:fill="FFFFFF"/>
            <w:noWrap/>
            <w:vAlign w:val="bottom"/>
          </w:tcPr>
          <w:p w:rsidR="00CC1508" w:rsidRPr="004F754B" w:rsidRDefault="00CC1508" w:rsidP="00CC1508">
            <w:pPr>
              <w:widowControl/>
              <w:jc w:val="center"/>
              <w:rPr>
                <w:rFonts w:ascii="宋体" w:hAnsi="宋体" w:cs="宋体" w:hint="eastAsia"/>
                <w:kern w:val="0"/>
                <w:sz w:val="22"/>
              </w:rPr>
            </w:pPr>
            <w:r w:rsidRPr="004F754B">
              <w:rPr>
                <w:rFonts w:ascii="宋体" w:hAnsi="宋体" w:cs="宋体" w:hint="eastAsia"/>
                <w:kern w:val="0"/>
                <w:sz w:val="22"/>
              </w:rPr>
              <w:t>东方红锦融甄选18个月持有期混合型证券投资基金（C类份额）</w:t>
            </w:r>
          </w:p>
        </w:tc>
        <w:tc>
          <w:tcPr>
            <w:tcW w:w="1985" w:type="dxa"/>
            <w:vMerge/>
            <w:tcBorders>
              <w:left w:val="nil"/>
              <w:bottom w:val="single" w:sz="4" w:space="0" w:color="auto"/>
              <w:right w:val="single" w:sz="4" w:space="0" w:color="auto"/>
            </w:tcBorders>
            <w:shd w:val="clear" w:color="000000" w:fill="FFFFFF"/>
          </w:tcPr>
          <w:p w:rsidR="00CC1508" w:rsidRPr="004F754B" w:rsidRDefault="00CC1508" w:rsidP="00CC1508">
            <w:pPr>
              <w:widowControl/>
              <w:jc w:val="center"/>
              <w:rPr>
                <w:rFonts w:ascii="宋体" w:hAnsi="宋体" w:cs="宋体" w:hint="eastAsia"/>
                <w:kern w:val="0"/>
                <w:sz w:val="22"/>
              </w:rPr>
            </w:pPr>
          </w:p>
        </w:tc>
      </w:tr>
    </w:tbl>
    <w:p w:rsidR="008B0CE0" w:rsidRDefault="008B0CE0" w:rsidP="00872017">
      <w:pPr>
        <w:spacing w:line="360" w:lineRule="auto"/>
        <w:outlineLvl w:val="0"/>
        <w:rPr>
          <w:rFonts w:ascii="宋体" w:hAnsi="宋体"/>
          <w:b/>
          <w:sz w:val="24"/>
          <w:szCs w:val="24"/>
        </w:rPr>
      </w:pPr>
    </w:p>
    <w:p w:rsidR="004F754B" w:rsidRPr="004F754B" w:rsidRDefault="004F754B" w:rsidP="00872017">
      <w:pPr>
        <w:spacing w:line="360" w:lineRule="auto"/>
        <w:outlineLvl w:val="0"/>
        <w:rPr>
          <w:rFonts w:ascii="宋体" w:hAnsi="宋体" w:hint="eastAsia"/>
          <w:b/>
          <w:sz w:val="24"/>
          <w:szCs w:val="24"/>
        </w:rPr>
      </w:pPr>
    </w:p>
    <w:p w:rsidR="007F68BA" w:rsidRPr="008B0CE0" w:rsidRDefault="008B0CE0">
      <w:pPr>
        <w:spacing w:line="360" w:lineRule="auto"/>
        <w:ind w:firstLineChars="200" w:firstLine="482"/>
        <w:outlineLvl w:val="0"/>
        <w:rPr>
          <w:rFonts w:ascii="宋体" w:hAnsi="宋体" w:hint="eastAsia"/>
          <w:b/>
          <w:sz w:val="24"/>
          <w:szCs w:val="24"/>
        </w:rPr>
      </w:pPr>
      <w:r w:rsidRPr="008B0CE0">
        <w:rPr>
          <w:rFonts w:ascii="宋体" w:hAnsi="宋体" w:hint="eastAsia"/>
          <w:b/>
          <w:sz w:val="24"/>
          <w:szCs w:val="24"/>
        </w:rPr>
        <w:lastRenderedPageBreak/>
        <w:t>二</w:t>
      </w:r>
      <w:r w:rsidR="002A0E88" w:rsidRPr="008B0CE0">
        <w:rPr>
          <w:rFonts w:ascii="宋体" w:hAnsi="宋体" w:hint="eastAsia"/>
          <w:b/>
          <w:sz w:val="24"/>
          <w:szCs w:val="24"/>
        </w:rPr>
        <w:t>、</w:t>
      </w:r>
      <w:r w:rsidR="002A0E88" w:rsidRPr="008B0CE0">
        <w:rPr>
          <w:rFonts w:ascii="宋体" w:hAnsi="宋体"/>
          <w:b/>
          <w:sz w:val="24"/>
          <w:szCs w:val="24"/>
        </w:rPr>
        <w:t>业务办理</w:t>
      </w:r>
    </w:p>
    <w:p w:rsidR="00261F7F" w:rsidRDefault="002A0E88" w:rsidP="00801526">
      <w:pPr>
        <w:spacing w:line="360" w:lineRule="auto"/>
        <w:ind w:firstLineChars="200" w:firstLine="480"/>
        <w:outlineLvl w:val="0"/>
        <w:rPr>
          <w:rFonts w:ascii="宋体" w:hAnsi="宋体"/>
          <w:sz w:val="24"/>
          <w:szCs w:val="24"/>
        </w:rPr>
      </w:pPr>
      <w:r>
        <w:rPr>
          <w:rFonts w:ascii="宋体" w:hAnsi="宋体" w:hint="eastAsia"/>
          <w:sz w:val="24"/>
          <w:szCs w:val="24"/>
        </w:rPr>
        <w:t>自</w:t>
      </w:r>
      <w:r w:rsidR="004F754B">
        <w:rPr>
          <w:rFonts w:ascii="宋体" w:hAnsi="宋体" w:hint="eastAsia"/>
          <w:sz w:val="24"/>
          <w:szCs w:val="24"/>
        </w:rPr>
        <w:t>2</w:t>
      </w:r>
      <w:r w:rsidR="004F754B">
        <w:rPr>
          <w:rFonts w:ascii="宋体" w:hAnsi="宋体"/>
          <w:sz w:val="24"/>
          <w:szCs w:val="24"/>
        </w:rPr>
        <w:t>022</w:t>
      </w:r>
      <w:r w:rsidR="004F754B">
        <w:rPr>
          <w:rFonts w:ascii="宋体" w:hAnsi="宋体" w:hint="eastAsia"/>
          <w:sz w:val="24"/>
          <w:szCs w:val="24"/>
        </w:rPr>
        <w:t>年</w:t>
      </w:r>
      <w:r w:rsidR="004F754B">
        <w:rPr>
          <w:rFonts w:ascii="宋体" w:hAnsi="宋体"/>
          <w:sz w:val="24"/>
          <w:szCs w:val="24"/>
        </w:rPr>
        <w:t>6</w:t>
      </w:r>
      <w:r w:rsidR="004F754B">
        <w:rPr>
          <w:rFonts w:ascii="宋体" w:hAnsi="宋体" w:hint="eastAsia"/>
          <w:sz w:val="24"/>
          <w:szCs w:val="24"/>
        </w:rPr>
        <w:t>月</w:t>
      </w:r>
      <w:r w:rsidR="004F754B">
        <w:rPr>
          <w:rFonts w:ascii="宋体" w:hAnsi="宋体"/>
          <w:sz w:val="24"/>
          <w:szCs w:val="24"/>
        </w:rPr>
        <w:t>24</w:t>
      </w:r>
      <w:r>
        <w:rPr>
          <w:rFonts w:ascii="宋体" w:hAnsi="宋体" w:hint="eastAsia"/>
          <w:sz w:val="24"/>
          <w:szCs w:val="24"/>
        </w:rPr>
        <w:t>日起（含），投资者可通过</w:t>
      </w:r>
      <w:r w:rsidR="009905F9">
        <w:rPr>
          <w:rFonts w:ascii="宋体" w:hAnsi="宋体" w:hint="eastAsia"/>
          <w:sz w:val="24"/>
          <w:szCs w:val="24"/>
        </w:rPr>
        <w:t>宁波银行</w:t>
      </w:r>
      <w:r w:rsidR="00C31862">
        <w:rPr>
          <w:rFonts w:ascii="宋体" w:hAnsi="宋体" w:hint="eastAsia"/>
          <w:sz w:val="24"/>
          <w:szCs w:val="24"/>
        </w:rPr>
        <w:t>在开放日内</w:t>
      </w:r>
      <w:r>
        <w:rPr>
          <w:rFonts w:ascii="宋体" w:hAnsi="宋体" w:hint="eastAsia"/>
          <w:sz w:val="24"/>
          <w:szCs w:val="24"/>
        </w:rPr>
        <w:t>办理上述基金</w:t>
      </w:r>
      <w:r w:rsidR="00E040FC">
        <w:rPr>
          <w:rFonts w:ascii="宋体" w:hAnsi="宋体" w:hint="eastAsia"/>
          <w:sz w:val="24"/>
          <w:szCs w:val="24"/>
        </w:rPr>
        <w:t>相关份额</w:t>
      </w:r>
      <w:r w:rsidR="00E040FC" w:rsidRPr="00F76201">
        <w:rPr>
          <w:rFonts w:ascii="宋体" w:hAnsi="宋体" w:hint="eastAsia"/>
          <w:sz w:val="24"/>
          <w:szCs w:val="24"/>
        </w:rPr>
        <w:t>的开户、申购、赎回</w:t>
      </w:r>
      <w:r w:rsidR="00E040FC">
        <w:rPr>
          <w:rFonts w:ascii="宋体" w:hAnsi="宋体" w:hint="eastAsia"/>
          <w:sz w:val="24"/>
          <w:szCs w:val="24"/>
        </w:rPr>
        <w:t>及</w:t>
      </w:r>
      <w:r w:rsidR="00CC1508">
        <w:rPr>
          <w:rFonts w:ascii="宋体" w:hAnsi="宋体" w:hint="eastAsia"/>
          <w:sz w:val="24"/>
          <w:szCs w:val="24"/>
        </w:rPr>
        <w:t>部分基金份额的</w:t>
      </w:r>
      <w:r w:rsidR="00E040FC" w:rsidRPr="00F76201">
        <w:rPr>
          <w:rFonts w:ascii="宋体" w:hAnsi="宋体" w:hint="eastAsia"/>
          <w:sz w:val="24"/>
          <w:szCs w:val="24"/>
        </w:rPr>
        <w:t>定期定额投资业务</w:t>
      </w:r>
      <w:r w:rsidR="000215D1">
        <w:rPr>
          <w:rFonts w:ascii="宋体" w:hAnsi="宋体" w:hint="eastAsia"/>
          <w:sz w:val="24"/>
          <w:szCs w:val="24"/>
        </w:rPr>
        <w:t>，定投</w:t>
      </w:r>
      <w:r>
        <w:rPr>
          <w:rFonts w:ascii="宋体" w:hAnsi="宋体" w:hint="eastAsia"/>
          <w:sz w:val="24"/>
          <w:szCs w:val="24"/>
        </w:rPr>
        <w:t>起点金额为</w:t>
      </w:r>
      <w:r>
        <w:rPr>
          <w:rFonts w:ascii="宋体" w:hAnsi="宋体"/>
          <w:sz w:val="24"/>
          <w:szCs w:val="24"/>
        </w:rPr>
        <w:t>100</w:t>
      </w:r>
      <w:r>
        <w:rPr>
          <w:rFonts w:ascii="宋体" w:hAnsi="宋体" w:hint="eastAsia"/>
          <w:sz w:val="24"/>
          <w:szCs w:val="24"/>
        </w:rPr>
        <w:t>元，无级差。</w:t>
      </w:r>
      <w:r w:rsidR="006B5538">
        <w:rPr>
          <w:rFonts w:ascii="宋体" w:hAnsi="宋体" w:hint="eastAsia"/>
          <w:sz w:val="24"/>
          <w:szCs w:val="24"/>
        </w:rPr>
        <w:t>对持有期基金需在满足基金持有期后方可办理赎回业务。</w:t>
      </w:r>
    </w:p>
    <w:p w:rsidR="002A0E88" w:rsidRDefault="008B0CE0">
      <w:pPr>
        <w:spacing w:before="240" w:line="360" w:lineRule="auto"/>
        <w:ind w:firstLineChars="200" w:firstLine="482"/>
        <w:outlineLvl w:val="0"/>
        <w:rPr>
          <w:rFonts w:ascii="宋体" w:hAnsi="宋体" w:hint="eastAsia"/>
          <w:sz w:val="24"/>
          <w:szCs w:val="24"/>
        </w:rPr>
      </w:pPr>
      <w:r w:rsidRPr="008B0CE0">
        <w:rPr>
          <w:rFonts w:ascii="宋体" w:hAnsi="宋体" w:hint="eastAsia"/>
          <w:b/>
          <w:sz w:val="24"/>
          <w:szCs w:val="24"/>
        </w:rPr>
        <w:t>三</w:t>
      </w:r>
      <w:r w:rsidR="002A0E88" w:rsidRPr="008B0CE0">
        <w:rPr>
          <w:rFonts w:ascii="宋体" w:hAnsi="宋体" w:hint="eastAsia"/>
          <w:b/>
          <w:sz w:val="24"/>
          <w:szCs w:val="24"/>
        </w:rPr>
        <w:t>、咨询方式</w:t>
      </w:r>
    </w:p>
    <w:p w:rsidR="002A0E88" w:rsidRDefault="002A0E88">
      <w:pPr>
        <w:spacing w:line="360" w:lineRule="auto"/>
        <w:ind w:firstLine="420"/>
        <w:outlineLvl w:val="0"/>
        <w:rPr>
          <w:rFonts w:ascii="宋体" w:hAnsi="宋体" w:hint="eastAsia"/>
          <w:sz w:val="24"/>
          <w:szCs w:val="24"/>
        </w:rPr>
      </w:pPr>
      <w:r>
        <w:rPr>
          <w:rFonts w:ascii="宋体" w:hAnsi="宋体" w:hint="eastAsia"/>
          <w:sz w:val="24"/>
          <w:szCs w:val="24"/>
        </w:rPr>
        <w:t>投资者可以通过以下途径咨询有关情况：</w:t>
      </w:r>
    </w:p>
    <w:p w:rsidR="009905F9" w:rsidRDefault="009905F9" w:rsidP="009905F9">
      <w:pPr>
        <w:spacing w:line="360" w:lineRule="auto"/>
        <w:ind w:left="420"/>
        <w:outlineLvl w:val="0"/>
        <w:rPr>
          <w:rFonts w:ascii="宋体" w:hAnsi="宋体"/>
          <w:sz w:val="24"/>
          <w:szCs w:val="24"/>
        </w:rPr>
      </w:pPr>
      <w:r>
        <w:rPr>
          <w:rFonts w:ascii="宋体" w:hAnsi="宋体" w:hint="eastAsia"/>
          <w:sz w:val="24"/>
          <w:szCs w:val="24"/>
        </w:rPr>
        <w:t>1、宁波银行股份有限公司</w:t>
      </w:r>
    </w:p>
    <w:p w:rsidR="009905F9" w:rsidRDefault="009905F9" w:rsidP="009905F9">
      <w:pPr>
        <w:spacing w:line="360" w:lineRule="auto"/>
        <w:ind w:left="420"/>
        <w:outlineLvl w:val="0"/>
        <w:rPr>
          <w:rFonts w:ascii="宋体" w:hAnsi="宋体" w:hint="eastAsia"/>
          <w:sz w:val="24"/>
          <w:szCs w:val="24"/>
        </w:rPr>
      </w:pPr>
      <w:r>
        <w:rPr>
          <w:rFonts w:ascii="宋体" w:hAnsi="宋体" w:hint="eastAsia"/>
          <w:sz w:val="24"/>
          <w:szCs w:val="24"/>
        </w:rPr>
        <w:t>客户服务电话：</w:t>
      </w:r>
      <w:r>
        <w:rPr>
          <w:rFonts w:ascii="宋体" w:hAnsi="宋体"/>
          <w:sz w:val="24"/>
          <w:szCs w:val="24"/>
        </w:rPr>
        <w:t>95574</w:t>
      </w:r>
    </w:p>
    <w:p w:rsidR="009905F9" w:rsidRDefault="009905F9" w:rsidP="009905F9">
      <w:pPr>
        <w:spacing w:line="360" w:lineRule="auto"/>
        <w:ind w:left="420"/>
        <w:outlineLvl w:val="0"/>
        <w:rPr>
          <w:rFonts w:ascii="宋体" w:hAnsi="宋体" w:hint="eastAsia"/>
          <w:sz w:val="24"/>
          <w:szCs w:val="24"/>
        </w:rPr>
      </w:pPr>
      <w:r>
        <w:rPr>
          <w:rFonts w:ascii="宋体" w:hAnsi="宋体" w:hint="eastAsia"/>
          <w:sz w:val="24"/>
          <w:szCs w:val="24"/>
        </w:rPr>
        <w:t>公司网站：</w:t>
      </w:r>
      <w:r>
        <w:rPr>
          <w:rFonts w:ascii="宋体" w:hAnsi="宋体"/>
          <w:sz w:val="24"/>
          <w:szCs w:val="24"/>
        </w:rPr>
        <w:t xml:space="preserve"> www.</w:t>
      </w:r>
      <w:r>
        <w:rPr>
          <w:rFonts w:ascii="宋体" w:hAnsi="宋体" w:hint="eastAsia"/>
          <w:sz w:val="24"/>
          <w:szCs w:val="24"/>
        </w:rPr>
        <w:t>nbcb</w:t>
      </w:r>
      <w:r>
        <w:rPr>
          <w:rFonts w:ascii="宋体" w:hAnsi="宋体"/>
          <w:sz w:val="24"/>
          <w:szCs w:val="24"/>
        </w:rPr>
        <w:t>.com.cn</w:t>
      </w:r>
    </w:p>
    <w:p w:rsidR="002A0E88" w:rsidRDefault="002A0E88">
      <w:pPr>
        <w:spacing w:line="360" w:lineRule="auto"/>
        <w:ind w:left="420"/>
        <w:outlineLvl w:val="0"/>
        <w:rPr>
          <w:rFonts w:ascii="宋体" w:hAnsi="宋体" w:hint="eastAsia"/>
          <w:sz w:val="24"/>
          <w:szCs w:val="24"/>
        </w:rPr>
      </w:pPr>
      <w:r>
        <w:rPr>
          <w:rFonts w:ascii="宋体" w:hAnsi="宋体" w:hint="eastAsia"/>
          <w:sz w:val="24"/>
          <w:szCs w:val="24"/>
        </w:rPr>
        <w:t>2、上海东方证券资产管理有限公司</w:t>
      </w:r>
    </w:p>
    <w:p w:rsidR="002A0E88" w:rsidRDefault="002A0E88">
      <w:pPr>
        <w:spacing w:line="360" w:lineRule="auto"/>
        <w:ind w:leftChars="202" w:left="424" w:firstLine="2"/>
        <w:outlineLvl w:val="0"/>
        <w:rPr>
          <w:rFonts w:ascii="宋体" w:hAnsi="宋体"/>
          <w:sz w:val="24"/>
          <w:szCs w:val="24"/>
        </w:rPr>
      </w:pPr>
      <w:r>
        <w:rPr>
          <w:rFonts w:ascii="宋体" w:hAnsi="宋体" w:hint="eastAsia"/>
          <w:sz w:val="24"/>
          <w:szCs w:val="24"/>
        </w:rPr>
        <w:t>客户服务电话：400-920-0808</w:t>
      </w:r>
    </w:p>
    <w:p w:rsidR="002A0E88" w:rsidRDefault="002A0E88">
      <w:pPr>
        <w:spacing w:line="360" w:lineRule="auto"/>
        <w:ind w:leftChars="202" w:left="424" w:firstLine="2"/>
        <w:outlineLvl w:val="0"/>
        <w:rPr>
          <w:rFonts w:ascii="宋体" w:hAnsi="宋体"/>
          <w:sz w:val="24"/>
          <w:szCs w:val="24"/>
        </w:rPr>
      </w:pPr>
      <w:r>
        <w:rPr>
          <w:rFonts w:ascii="宋体" w:hAnsi="宋体" w:hint="eastAsia"/>
          <w:sz w:val="24"/>
          <w:szCs w:val="24"/>
        </w:rPr>
        <w:t>公司网址：</w:t>
      </w:r>
      <w:hyperlink r:id="rId8" w:history="1">
        <w:r>
          <w:rPr>
            <w:rFonts w:ascii="宋体" w:hAnsi="宋体"/>
            <w:sz w:val="24"/>
            <w:szCs w:val="24"/>
          </w:rPr>
          <w:t>www.dfham.com</w:t>
        </w:r>
      </w:hyperlink>
    </w:p>
    <w:p w:rsidR="002A0E88" w:rsidRPr="008B0CE0" w:rsidRDefault="008B0CE0">
      <w:pPr>
        <w:spacing w:before="240" w:line="360" w:lineRule="auto"/>
        <w:ind w:firstLine="420"/>
        <w:outlineLvl w:val="0"/>
        <w:rPr>
          <w:rFonts w:ascii="宋体" w:hAnsi="宋体" w:hint="eastAsia"/>
          <w:b/>
          <w:sz w:val="24"/>
          <w:szCs w:val="24"/>
        </w:rPr>
      </w:pPr>
      <w:r w:rsidRPr="008B0CE0">
        <w:rPr>
          <w:rFonts w:ascii="宋体" w:hAnsi="宋体" w:hint="eastAsia"/>
          <w:b/>
          <w:sz w:val="24"/>
          <w:szCs w:val="24"/>
        </w:rPr>
        <w:t>四</w:t>
      </w:r>
      <w:r w:rsidR="002A0E88" w:rsidRPr="008B0CE0">
        <w:rPr>
          <w:rFonts w:ascii="宋体" w:hAnsi="宋体" w:hint="eastAsia"/>
          <w:b/>
          <w:sz w:val="24"/>
          <w:szCs w:val="24"/>
        </w:rPr>
        <w:t xml:space="preserve">、 </w:t>
      </w:r>
      <w:r w:rsidR="000215D1" w:rsidRPr="008B0CE0">
        <w:rPr>
          <w:rFonts w:ascii="宋体" w:hAnsi="宋体"/>
          <w:b/>
          <w:sz w:val="24"/>
          <w:szCs w:val="24"/>
        </w:rPr>
        <w:t>重要</w:t>
      </w:r>
      <w:r w:rsidR="002A0E88" w:rsidRPr="008B0CE0">
        <w:rPr>
          <w:rFonts w:ascii="宋体" w:hAnsi="宋体" w:hint="eastAsia"/>
          <w:b/>
          <w:sz w:val="24"/>
          <w:szCs w:val="24"/>
        </w:rPr>
        <w:t>提示</w:t>
      </w:r>
    </w:p>
    <w:p w:rsidR="0027417F" w:rsidRDefault="0027417F" w:rsidP="0027417F">
      <w:pPr>
        <w:spacing w:line="360" w:lineRule="auto"/>
        <w:ind w:firstLine="420"/>
        <w:outlineLvl w:val="0"/>
        <w:rPr>
          <w:rFonts w:ascii="宋体" w:hAnsi="宋体"/>
          <w:sz w:val="24"/>
          <w:szCs w:val="24"/>
        </w:rPr>
      </w:pPr>
      <w:r>
        <w:rPr>
          <w:rFonts w:ascii="宋体" w:hAnsi="宋体" w:hint="eastAsia"/>
          <w:sz w:val="24"/>
          <w:szCs w:val="24"/>
        </w:rPr>
        <w:t>1、代理销售机构的具体营业网点、业务办理具体时间、业务办理方式及流程、基金的最低购买金额及交易级差等，请投资者遵循代理销售机构的规定。</w:t>
      </w:r>
    </w:p>
    <w:p w:rsidR="0027417F" w:rsidRPr="0030052C" w:rsidRDefault="0027417F" w:rsidP="0027417F">
      <w:pPr>
        <w:spacing w:line="360" w:lineRule="auto"/>
        <w:ind w:firstLine="420"/>
        <w:outlineLvl w:val="0"/>
        <w:rPr>
          <w:rFonts w:ascii="宋体" w:hAnsi="宋体" w:hint="eastAsia"/>
          <w:sz w:val="24"/>
          <w:szCs w:val="24"/>
        </w:rPr>
      </w:pPr>
      <w:r w:rsidRPr="0030052C">
        <w:rPr>
          <w:rFonts w:ascii="宋体" w:hAnsi="宋体" w:hint="eastAsia"/>
          <w:sz w:val="24"/>
          <w:szCs w:val="24"/>
        </w:rPr>
        <w:t>2、关于上述基金具体费率优惠活动解释权归</w:t>
      </w:r>
      <w:r>
        <w:rPr>
          <w:rFonts w:ascii="宋体" w:hAnsi="宋体" w:hint="eastAsia"/>
          <w:sz w:val="24"/>
          <w:szCs w:val="24"/>
        </w:rPr>
        <w:t>销售</w:t>
      </w:r>
      <w:r w:rsidRPr="0030052C">
        <w:rPr>
          <w:rFonts w:ascii="宋体" w:hAnsi="宋体" w:hint="eastAsia"/>
          <w:sz w:val="24"/>
          <w:szCs w:val="24"/>
        </w:rPr>
        <w:t>机构所有。</w:t>
      </w:r>
    </w:p>
    <w:p w:rsidR="0027417F" w:rsidRDefault="0027417F" w:rsidP="0027417F">
      <w:pPr>
        <w:spacing w:line="360" w:lineRule="auto"/>
        <w:ind w:firstLine="420"/>
        <w:outlineLvl w:val="0"/>
        <w:rPr>
          <w:rFonts w:ascii="宋体" w:hAnsi="宋体" w:hint="eastAsia"/>
          <w:sz w:val="24"/>
          <w:szCs w:val="24"/>
        </w:rPr>
      </w:pPr>
      <w:r w:rsidRPr="0030052C">
        <w:rPr>
          <w:rFonts w:ascii="宋体" w:hAnsi="宋体" w:hint="eastAsia"/>
          <w:sz w:val="24"/>
          <w:szCs w:val="24"/>
        </w:rPr>
        <w:t>3、关于上述基金开放或暂停办理申购</w:t>
      </w:r>
      <w:r>
        <w:rPr>
          <w:rFonts w:ascii="宋体" w:hAnsi="宋体" w:hint="eastAsia"/>
          <w:sz w:val="24"/>
          <w:szCs w:val="24"/>
        </w:rPr>
        <w:t>、赎回</w:t>
      </w:r>
      <w:r w:rsidRPr="0030052C">
        <w:rPr>
          <w:rFonts w:ascii="宋体" w:hAnsi="宋体" w:hint="eastAsia"/>
          <w:sz w:val="24"/>
          <w:szCs w:val="24"/>
        </w:rPr>
        <w:t>、限制大额申购等业务的具体情况请投资者以</w:t>
      </w:r>
      <w:r>
        <w:rPr>
          <w:rFonts w:ascii="宋体" w:hAnsi="宋体" w:hint="eastAsia"/>
          <w:sz w:val="24"/>
          <w:szCs w:val="24"/>
        </w:rPr>
        <w:t>本公司</w:t>
      </w:r>
      <w:r w:rsidRPr="0030052C">
        <w:rPr>
          <w:rFonts w:ascii="宋体" w:hAnsi="宋体" w:hint="eastAsia"/>
          <w:sz w:val="24"/>
          <w:szCs w:val="24"/>
        </w:rPr>
        <w:t>最新业务公告为准。</w:t>
      </w:r>
    </w:p>
    <w:p w:rsidR="0027417F" w:rsidRDefault="0027417F" w:rsidP="0027417F">
      <w:pPr>
        <w:spacing w:line="360" w:lineRule="auto"/>
        <w:ind w:firstLine="420"/>
        <w:outlineLvl w:val="0"/>
        <w:rPr>
          <w:rFonts w:ascii="宋体" w:hAnsi="宋体"/>
          <w:sz w:val="24"/>
          <w:szCs w:val="24"/>
        </w:rPr>
      </w:pPr>
      <w:r>
        <w:rPr>
          <w:rFonts w:ascii="宋体" w:hAnsi="宋体"/>
          <w:sz w:val="24"/>
          <w:szCs w:val="24"/>
        </w:rPr>
        <w:t>4</w:t>
      </w:r>
      <w:r>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w:t>
      </w:r>
      <w:r w:rsidR="006B5538">
        <w:rPr>
          <w:rFonts w:ascii="宋体" w:hAnsi="宋体" w:hint="eastAsia"/>
          <w:sz w:val="24"/>
          <w:szCs w:val="24"/>
        </w:rPr>
        <w:t>最新</w:t>
      </w:r>
      <w:r>
        <w:rPr>
          <w:rFonts w:ascii="宋体" w:hAnsi="宋体" w:hint="eastAsia"/>
          <w:sz w:val="24"/>
          <w:szCs w:val="24"/>
        </w:rPr>
        <w:t>的基金合同、招募说明书、基金产品资料概要以及相关业务公告。敬请投资者关注适当性管理相关规定，提前做好风险测评，并根据自身的风险承受能力购买风险等级相匹配的产品。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8B0CE0" w:rsidRDefault="008B0CE0">
      <w:pPr>
        <w:spacing w:line="360" w:lineRule="auto"/>
        <w:ind w:firstLine="420"/>
        <w:outlineLvl w:val="0"/>
        <w:rPr>
          <w:rFonts w:ascii="宋体" w:hAnsi="宋体" w:hint="eastAsia"/>
          <w:sz w:val="24"/>
          <w:szCs w:val="24"/>
        </w:rPr>
      </w:pPr>
    </w:p>
    <w:p w:rsidR="007D1DED" w:rsidRDefault="002A0E88">
      <w:pPr>
        <w:spacing w:line="360" w:lineRule="auto"/>
        <w:ind w:firstLine="420"/>
        <w:outlineLvl w:val="0"/>
        <w:rPr>
          <w:rFonts w:ascii="宋体" w:hAnsi="宋体" w:hint="eastAsia"/>
          <w:sz w:val="24"/>
          <w:szCs w:val="24"/>
        </w:rPr>
      </w:pPr>
      <w:r>
        <w:rPr>
          <w:rFonts w:ascii="宋体" w:hAnsi="宋体" w:hint="eastAsia"/>
          <w:sz w:val="24"/>
          <w:szCs w:val="24"/>
        </w:rPr>
        <w:t>本公告的解释权归上海东方证券资产管理有限公司所有。</w:t>
      </w:r>
    </w:p>
    <w:p w:rsidR="006B5538" w:rsidRDefault="006B5538" w:rsidP="00C40312">
      <w:pPr>
        <w:spacing w:line="360" w:lineRule="auto"/>
        <w:ind w:firstLine="420"/>
        <w:outlineLvl w:val="0"/>
        <w:rPr>
          <w:rFonts w:ascii="宋体" w:hAnsi="宋体"/>
          <w:sz w:val="24"/>
          <w:szCs w:val="24"/>
        </w:rPr>
      </w:pPr>
    </w:p>
    <w:p w:rsidR="002A0E88" w:rsidRDefault="002A0E88" w:rsidP="00C40312">
      <w:pPr>
        <w:spacing w:line="360" w:lineRule="auto"/>
        <w:ind w:firstLine="420"/>
        <w:outlineLvl w:val="0"/>
        <w:rPr>
          <w:rFonts w:ascii="宋体" w:hAnsi="宋体"/>
          <w:sz w:val="24"/>
          <w:szCs w:val="24"/>
        </w:rPr>
      </w:pPr>
      <w:r>
        <w:rPr>
          <w:rFonts w:ascii="宋体" w:hAnsi="宋体" w:hint="eastAsia"/>
          <w:sz w:val="24"/>
          <w:szCs w:val="24"/>
        </w:rPr>
        <w:t>特此公告。</w:t>
      </w:r>
    </w:p>
    <w:p w:rsidR="006B2297" w:rsidRPr="003136D3" w:rsidRDefault="006B2297" w:rsidP="00C40312">
      <w:pPr>
        <w:jc w:val="right"/>
        <w:rPr>
          <w:rFonts w:ascii="宋体" w:hAnsi="宋体"/>
          <w:sz w:val="24"/>
          <w:szCs w:val="24"/>
        </w:rPr>
      </w:pPr>
    </w:p>
    <w:p w:rsidR="002A0E88" w:rsidRPr="00C40312" w:rsidRDefault="002A0E88" w:rsidP="00C40312">
      <w:pPr>
        <w:jc w:val="right"/>
        <w:rPr>
          <w:rFonts w:ascii="宋体" w:hAnsi="宋体"/>
          <w:sz w:val="24"/>
          <w:szCs w:val="24"/>
        </w:rPr>
      </w:pPr>
      <w:r w:rsidRPr="00C40312">
        <w:rPr>
          <w:rFonts w:ascii="宋体" w:hAnsi="宋体" w:hint="eastAsia"/>
          <w:sz w:val="24"/>
          <w:szCs w:val="24"/>
        </w:rPr>
        <w:t>上海东方证券资产管理有限公司</w:t>
      </w:r>
    </w:p>
    <w:p w:rsidR="006B2297" w:rsidRPr="003136D3" w:rsidRDefault="006B2297" w:rsidP="00C40312">
      <w:pPr>
        <w:jc w:val="right"/>
        <w:rPr>
          <w:rFonts w:ascii="宋体" w:hAnsi="宋体"/>
          <w:sz w:val="24"/>
          <w:szCs w:val="24"/>
        </w:rPr>
      </w:pPr>
    </w:p>
    <w:p w:rsidR="002A0E88" w:rsidRPr="00C40312" w:rsidRDefault="004F754B" w:rsidP="00C40312">
      <w:pPr>
        <w:jc w:val="right"/>
        <w:rPr>
          <w:rFonts w:ascii="宋体" w:hAnsi="宋体" w:hint="eastAsia"/>
          <w:sz w:val="24"/>
          <w:szCs w:val="24"/>
        </w:rPr>
      </w:pPr>
      <w:r w:rsidRPr="00C40312">
        <w:rPr>
          <w:rFonts w:ascii="宋体" w:hAnsi="宋体" w:hint="eastAsia"/>
          <w:sz w:val="24"/>
          <w:szCs w:val="24"/>
        </w:rPr>
        <w:t>202</w:t>
      </w:r>
      <w:r>
        <w:rPr>
          <w:rFonts w:ascii="宋体" w:hAnsi="宋体"/>
          <w:sz w:val="24"/>
          <w:szCs w:val="24"/>
        </w:rPr>
        <w:t>2</w:t>
      </w:r>
      <w:r w:rsidRPr="00C40312">
        <w:rPr>
          <w:rFonts w:ascii="宋体" w:hAnsi="宋体" w:hint="eastAsia"/>
          <w:sz w:val="24"/>
          <w:szCs w:val="24"/>
        </w:rPr>
        <w:t>年</w:t>
      </w:r>
      <w:r>
        <w:rPr>
          <w:rFonts w:ascii="宋体" w:hAnsi="宋体"/>
          <w:sz w:val="24"/>
          <w:szCs w:val="24"/>
        </w:rPr>
        <w:t>6</w:t>
      </w:r>
      <w:r w:rsidRPr="00C40312">
        <w:rPr>
          <w:rFonts w:ascii="宋体" w:hAnsi="宋体" w:hint="eastAsia"/>
          <w:sz w:val="24"/>
          <w:szCs w:val="24"/>
        </w:rPr>
        <w:t>月</w:t>
      </w:r>
      <w:r>
        <w:rPr>
          <w:rFonts w:ascii="宋体" w:hAnsi="宋体"/>
          <w:sz w:val="24"/>
          <w:szCs w:val="24"/>
        </w:rPr>
        <w:t>23</w:t>
      </w:r>
      <w:r w:rsidR="002A0E88" w:rsidRPr="00C40312">
        <w:rPr>
          <w:rFonts w:ascii="宋体" w:hAnsi="宋体" w:hint="eastAsia"/>
          <w:sz w:val="24"/>
          <w:szCs w:val="24"/>
        </w:rPr>
        <w:t>日</w:t>
      </w:r>
    </w:p>
    <w:sectPr w:rsidR="002A0E88" w:rsidRPr="00C40312" w:rsidSect="003209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F6" w:rsidRDefault="008555F6"/>
  </w:endnote>
  <w:endnote w:type="continuationSeparator" w:id="0">
    <w:p w:rsidR="008555F6" w:rsidRDefault="008555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F6" w:rsidRDefault="008555F6"/>
  </w:footnote>
  <w:footnote w:type="continuationSeparator" w:id="0">
    <w:p w:rsidR="008555F6" w:rsidRDefault="008555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8307D"/>
    <w:multiLevelType w:val="hybridMultilevel"/>
    <w:tmpl w:val="F92A7340"/>
    <w:lvl w:ilvl="0" w:tplc="F286A29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5D1"/>
    <w:rsid w:val="00021BD5"/>
    <w:rsid w:val="000249F6"/>
    <w:rsid w:val="00025A94"/>
    <w:rsid w:val="00030D46"/>
    <w:rsid w:val="0003136B"/>
    <w:rsid w:val="000352C9"/>
    <w:rsid w:val="00043677"/>
    <w:rsid w:val="00046762"/>
    <w:rsid w:val="00050C38"/>
    <w:rsid w:val="00052222"/>
    <w:rsid w:val="0005307C"/>
    <w:rsid w:val="00053CB2"/>
    <w:rsid w:val="0006023A"/>
    <w:rsid w:val="00063C87"/>
    <w:rsid w:val="00064D4A"/>
    <w:rsid w:val="00066B79"/>
    <w:rsid w:val="000756C3"/>
    <w:rsid w:val="00082EEB"/>
    <w:rsid w:val="0008350F"/>
    <w:rsid w:val="00085FDA"/>
    <w:rsid w:val="0008641C"/>
    <w:rsid w:val="000866A1"/>
    <w:rsid w:val="000871BC"/>
    <w:rsid w:val="00090D7B"/>
    <w:rsid w:val="00090F4F"/>
    <w:rsid w:val="000910F1"/>
    <w:rsid w:val="00092096"/>
    <w:rsid w:val="00096D41"/>
    <w:rsid w:val="00097180"/>
    <w:rsid w:val="000A019F"/>
    <w:rsid w:val="000A7212"/>
    <w:rsid w:val="000B2168"/>
    <w:rsid w:val="000C1C59"/>
    <w:rsid w:val="000C33FF"/>
    <w:rsid w:val="000D1400"/>
    <w:rsid w:val="000D292A"/>
    <w:rsid w:val="000D2B51"/>
    <w:rsid w:val="000D320C"/>
    <w:rsid w:val="000D54FD"/>
    <w:rsid w:val="000E32B7"/>
    <w:rsid w:val="000E47D3"/>
    <w:rsid w:val="000E583C"/>
    <w:rsid w:val="000E7A2C"/>
    <w:rsid w:val="000F131A"/>
    <w:rsid w:val="000F2DDB"/>
    <w:rsid w:val="000F3844"/>
    <w:rsid w:val="0010232B"/>
    <w:rsid w:val="001064FF"/>
    <w:rsid w:val="00111A5D"/>
    <w:rsid w:val="00113527"/>
    <w:rsid w:val="0011590A"/>
    <w:rsid w:val="00123C0F"/>
    <w:rsid w:val="00124ACD"/>
    <w:rsid w:val="00125325"/>
    <w:rsid w:val="00126128"/>
    <w:rsid w:val="00126E0F"/>
    <w:rsid w:val="00131083"/>
    <w:rsid w:val="00131B7B"/>
    <w:rsid w:val="00131DF9"/>
    <w:rsid w:val="00131EC4"/>
    <w:rsid w:val="001365B6"/>
    <w:rsid w:val="001431B7"/>
    <w:rsid w:val="0014374C"/>
    <w:rsid w:val="00144953"/>
    <w:rsid w:val="00145568"/>
    <w:rsid w:val="00145855"/>
    <w:rsid w:val="00152F46"/>
    <w:rsid w:val="0015447F"/>
    <w:rsid w:val="00161618"/>
    <w:rsid w:val="00161B8A"/>
    <w:rsid w:val="00162F5E"/>
    <w:rsid w:val="00163163"/>
    <w:rsid w:val="00164E4F"/>
    <w:rsid w:val="00164F87"/>
    <w:rsid w:val="00167E95"/>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0B7A"/>
    <w:rsid w:val="001B14A5"/>
    <w:rsid w:val="001B2E66"/>
    <w:rsid w:val="001B560E"/>
    <w:rsid w:val="001B7AF9"/>
    <w:rsid w:val="001B7BED"/>
    <w:rsid w:val="001C348B"/>
    <w:rsid w:val="001C6025"/>
    <w:rsid w:val="001C6D01"/>
    <w:rsid w:val="001C7E5B"/>
    <w:rsid w:val="001D15EA"/>
    <w:rsid w:val="001E00D9"/>
    <w:rsid w:val="001E54E3"/>
    <w:rsid w:val="001F01E2"/>
    <w:rsid w:val="001F434C"/>
    <w:rsid w:val="00204A4C"/>
    <w:rsid w:val="00210225"/>
    <w:rsid w:val="00212DF8"/>
    <w:rsid w:val="00214694"/>
    <w:rsid w:val="00215026"/>
    <w:rsid w:val="002171B1"/>
    <w:rsid w:val="00224479"/>
    <w:rsid w:val="00224FE7"/>
    <w:rsid w:val="002253B0"/>
    <w:rsid w:val="00226B4E"/>
    <w:rsid w:val="00227FE6"/>
    <w:rsid w:val="002301AE"/>
    <w:rsid w:val="002323AD"/>
    <w:rsid w:val="00232632"/>
    <w:rsid w:val="0023381D"/>
    <w:rsid w:val="00235816"/>
    <w:rsid w:val="00237498"/>
    <w:rsid w:val="00241442"/>
    <w:rsid w:val="00242C1F"/>
    <w:rsid w:val="00244463"/>
    <w:rsid w:val="00244DCB"/>
    <w:rsid w:val="00246A82"/>
    <w:rsid w:val="00247A17"/>
    <w:rsid w:val="00250E22"/>
    <w:rsid w:val="00252129"/>
    <w:rsid w:val="00254D2E"/>
    <w:rsid w:val="00256FC1"/>
    <w:rsid w:val="00257A18"/>
    <w:rsid w:val="002608D6"/>
    <w:rsid w:val="002612B2"/>
    <w:rsid w:val="00261F7F"/>
    <w:rsid w:val="002634E0"/>
    <w:rsid w:val="00263AAF"/>
    <w:rsid w:val="002677B4"/>
    <w:rsid w:val="00267AAE"/>
    <w:rsid w:val="0027078C"/>
    <w:rsid w:val="00273681"/>
    <w:rsid w:val="0027417F"/>
    <w:rsid w:val="00281AFA"/>
    <w:rsid w:val="00281F49"/>
    <w:rsid w:val="002901AB"/>
    <w:rsid w:val="00291685"/>
    <w:rsid w:val="002923B0"/>
    <w:rsid w:val="002929AE"/>
    <w:rsid w:val="002938B4"/>
    <w:rsid w:val="00294F24"/>
    <w:rsid w:val="002A035E"/>
    <w:rsid w:val="002A0B7D"/>
    <w:rsid w:val="002A0E88"/>
    <w:rsid w:val="002A1D7C"/>
    <w:rsid w:val="002A7838"/>
    <w:rsid w:val="002B3173"/>
    <w:rsid w:val="002B4B04"/>
    <w:rsid w:val="002D348C"/>
    <w:rsid w:val="002D7FE5"/>
    <w:rsid w:val="002E52FA"/>
    <w:rsid w:val="002E70FA"/>
    <w:rsid w:val="002F6B98"/>
    <w:rsid w:val="0030569E"/>
    <w:rsid w:val="003059D8"/>
    <w:rsid w:val="0030634D"/>
    <w:rsid w:val="00311525"/>
    <w:rsid w:val="00312995"/>
    <w:rsid w:val="003136D3"/>
    <w:rsid w:val="00313BD0"/>
    <w:rsid w:val="00317686"/>
    <w:rsid w:val="00320949"/>
    <w:rsid w:val="00322B58"/>
    <w:rsid w:val="003276C3"/>
    <w:rsid w:val="00331A6A"/>
    <w:rsid w:val="0034092F"/>
    <w:rsid w:val="003411C3"/>
    <w:rsid w:val="00343068"/>
    <w:rsid w:val="003528BD"/>
    <w:rsid w:val="00353AE6"/>
    <w:rsid w:val="00354D03"/>
    <w:rsid w:val="00355BD1"/>
    <w:rsid w:val="003561D3"/>
    <w:rsid w:val="00357A77"/>
    <w:rsid w:val="003609E7"/>
    <w:rsid w:val="00372DF5"/>
    <w:rsid w:val="00375B9B"/>
    <w:rsid w:val="00380CBB"/>
    <w:rsid w:val="00382918"/>
    <w:rsid w:val="00383142"/>
    <w:rsid w:val="003976DE"/>
    <w:rsid w:val="003A09C9"/>
    <w:rsid w:val="003B046F"/>
    <w:rsid w:val="003B50C3"/>
    <w:rsid w:val="003C6077"/>
    <w:rsid w:val="003D3D80"/>
    <w:rsid w:val="003D6ED1"/>
    <w:rsid w:val="003D7235"/>
    <w:rsid w:val="003E0751"/>
    <w:rsid w:val="003E6D67"/>
    <w:rsid w:val="003F5394"/>
    <w:rsid w:val="00400591"/>
    <w:rsid w:val="0040449D"/>
    <w:rsid w:val="0040478D"/>
    <w:rsid w:val="00404E3C"/>
    <w:rsid w:val="00407C9D"/>
    <w:rsid w:val="004112BD"/>
    <w:rsid w:val="004149F8"/>
    <w:rsid w:val="00417D67"/>
    <w:rsid w:val="00423FEF"/>
    <w:rsid w:val="004317B7"/>
    <w:rsid w:val="00432918"/>
    <w:rsid w:val="0043348B"/>
    <w:rsid w:val="00434FCF"/>
    <w:rsid w:val="00441EE2"/>
    <w:rsid w:val="00444D38"/>
    <w:rsid w:val="00446A2B"/>
    <w:rsid w:val="00455EE0"/>
    <w:rsid w:val="004566E8"/>
    <w:rsid w:val="00456F81"/>
    <w:rsid w:val="004600DE"/>
    <w:rsid w:val="0046755B"/>
    <w:rsid w:val="00475B73"/>
    <w:rsid w:val="0047617A"/>
    <w:rsid w:val="00476F04"/>
    <w:rsid w:val="004811D9"/>
    <w:rsid w:val="00481211"/>
    <w:rsid w:val="004825F0"/>
    <w:rsid w:val="00484098"/>
    <w:rsid w:val="00490C57"/>
    <w:rsid w:val="0049207A"/>
    <w:rsid w:val="00497278"/>
    <w:rsid w:val="004A0394"/>
    <w:rsid w:val="004A12D1"/>
    <w:rsid w:val="004A272C"/>
    <w:rsid w:val="004A4726"/>
    <w:rsid w:val="004B0255"/>
    <w:rsid w:val="004B196A"/>
    <w:rsid w:val="004B36BF"/>
    <w:rsid w:val="004C0571"/>
    <w:rsid w:val="004C2CC3"/>
    <w:rsid w:val="004C67D7"/>
    <w:rsid w:val="004D1161"/>
    <w:rsid w:val="004D3297"/>
    <w:rsid w:val="004D7143"/>
    <w:rsid w:val="004D7F22"/>
    <w:rsid w:val="004E6A9F"/>
    <w:rsid w:val="004F27F1"/>
    <w:rsid w:val="004F754B"/>
    <w:rsid w:val="004F759E"/>
    <w:rsid w:val="005017A8"/>
    <w:rsid w:val="0050191A"/>
    <w:rsid w:val="00502B37"/>
    <w:rsid w:val="00510137"/>
    <w:rsid w:val="00512986"/>
    <w:rsid w:val="00514699"/>
    <w:rsid w:val="005153E4"/>
    <w:rsid w:val="0051701F"/>
    <w:rsid w:val="005419CB"/>
    <w:rsid w:val="005432BD"/>
    <w:rsid w:val="00550F39"/>
    <w:rsid w:val="00557C3C"/>
    <w:rsid w:val="00562427"/>
    <w:rsid w:val="00562C36"/>
    <w:rsid w:val="005669EB"/>
    <w:rsid w:val="005701E2"/>
    <w:rsid w:val="005737AF"/>
    <w:rsid w:val="00582A80"/>
    <w:rsid w:val="00591B84"/>
    <w:rsid w:val="00593E5E"/>
    <w:rsid w:val="0059468C"/>
    <w:rsid w:val="00596E9A"/>
    <w:rsid w:val="0059705A"/>
    <w:rsid w:val="005A040C"/>
    <w:rsid w:val="005A0DB5"/>
    <w:rsid w:val="005A2F33"/>
    <w:rsid w:val="005A5264"/>
    <w:rsid w:val="005A5F4B"/>
    <w:rsid w:val="005B12E5"/>
    <w:rsid w:val="005B18F1"/>
    <w:rsid w:val="005B1F51"/>
    <w:rsid w:val="005B645C"/>
    <w:rsid w:val="005C2B66"/>
    <w:rsid w:val="005C3326"/>
    <w:rsid w:val="005C3B6B"/>
    <w:rsid w:val="005C66F4"/>
    <w:rsid w:val="005D28D1"/>
    <w:rsid w:val="005D66EF"/>
    <w:rsid w:val="005E1E31"/>
    <w:rsid w:val="005E2E2A"/>
    <w:rsid w:val="005E3A23"/>
    <w:rsid w:val="005E5E72"/>
    <w:rsid w:val="005F19F5"/>
    <w:rsid w:val="005F2122"/>
    <w:rsid w:val="005F4A2A"/>
    <w:rsid w:val="005F6C61"/>
    <w:rsid w:val="0060011B"/>
    <w:rsid w:val="006014EC"/>
    <w:rsid w:val="006104DA"/>
    <w:rsid w:val="006113DB"/>
    <w:rsid w:val="00613F5C"/>
    <w:rsid w:val="00614973"/>
    <w:rsid w:val="0061781F"/>
    <w:rsid w:val="006202BE"/>
    <w:rsid w:val="00621A60"/>
    <w:rsid w:val="00621A8F"/>
    <w:rsid w:val="006222D2"/>
    <w:rsid w:val="00626398"/>
    <w:rsid w:val="0063040F"/>
    <w:rsid w:val="0063405B"/>
    <w:rsid w:val="00636D4B"/>
    <w:rsid w:val="0064241B"/>
    <w:rsid w:val="00642D8A"/>
    <w:rsid w:val="00647609"/>
    <w:rsid w:val="00647B54"/>
    <w:rsid w:val="00652C74"/>
    <w:rsid w:val="006564DA"/>
    <w:rsid w:val="006577FE"/>
    <w:rsid w:val="00663062"/>
    <w:rsid w:val="0067176C"/>
    <w:rsid w:val="0067308C"/>
    <w:rsid w:val="006731D7"/>
    <w:rsid w:val="006738DF"/>
    <w:rsid w:val="006760A0"/>
    <w:rsid w:val="00682DC2"/>
    <w:rsid w:val="006841D6"/>
    <w:rsid w:val="00690742"/>
    <w:rsid w:val="00693F57"/>
    <w:rsid w:val="006943B1"/>
    <w:rsid w:val="00696154"/>
    <w:rsid w:val="006A15FC"/>
    <w:rsid w:val="006A313A"/>
    <w:rsid w:val="006A41FA"/>
    <w:rsid w:val="006A4FF7"/>
    <w:rsid w:val="006A5036"/>
    <w:rsid w:val="006A7E67"/>
    <w:rsid w:val="006B10A4"/>
    <w:rsid w:val="006B128D"/>
    <w:rsid w:val="006B2297"/>
    <w:rsid w:val="006B5538"/>
    <w:rsid w:val="006B65DC"/>
    <w:rsid w:val="006D0339"/>
    <w:rsid w:val="006D46ED"/>
    <w:rsid w:val="006D7BD9"/>
    <w:rsid w:val="006E1A93"/>
    <w:rsid w:val="006E2162"/>
    <w:rsid w:val="006E21FF"/>
    <w:rsid w:val="006E2FAE"/>
    <w:rsid w:val="006E79EC"/>
    <w:rsid w:val="006F06FC"/>
    <w:rsid w:val="006F47C9"/>
    <w:rsid w:val="00710087"/>
    <w:rsid w:val="00714415"/>
    <w:rsid w:val="00714500"/>
    <w:rsid w:val="00716647"/>
    <w:rsid w:val="00717BA5"/>
    <w:rsid w:val="00727AAB"/>
    <w:rsid w:val="0073431C"/>
    <w:rsid w:val="0074003F"/>
    <w:rsid w:val="00742193"/>
    <w:rsid w:val="00742E27"/>
    <w:rsid w:val="007457BB"/>
    <w:rsid w:val="00745E70"/>
    <w:rsid w:val="00752A46"/>
    <w:rsid w:val="007611F3"/>
    <w:rsid w:val="00764952"/>
    <w:rsid w:val="00765ACD"/>
    <w:rsid w:val="00771E61"/>
    <w:rsid w:val="00780E5F"/>
    <w:rsid w:val="007810E4"/>
    <w:rsid w:val="00783D0F"/>
    <w:rsid w:val="00786C0B"/>
    <w:rsid w:val="00787696"/>
    <w:rsid w:val="00790273"/>
    <w:rsid w:val="007922A5"/>
    <w:rsid w:val="00793C6F"/>
    <w:rsid w:val="0079457F"/>
    <w:rsid w:val="007958AD"/>
    <w:rsid w:val="007A4597"/>
    <w:rsid w:val="007A543C"/>
    <w:rsid w:val="007A58F1"/>
    <w:rsid w:val="007B02EE"/>
    <w:rsid w:val="007B38D7"/>
    <w:rsid w:val="007B56D3"/>
    <w:rsid w:val="007B60E4"/>
    <w:rsid w:val="007C05DD"/>
    <w:rsid w:val="007C122F"/>
    <w:rsid w:val="007C39EA"/>
    <w:rsid w:val="007C3FFB"/>
    <w:rsid w:val="007C61E0"/>
    <w:rsid w:val="007C7FAB"/>
    <w:rsid w:val="007D1DED"/>
    <w:rsid w:val="007D69C9"/>
    <w:rsid w:val="007D72E8"/>
    <w:rsid w:val="007D776D"/>
    <w:rsid w:val="007E39C6"/>
    <w:rsid w:val="007E48A3"/>
    <w:rsid w:val="007E7823"/>
    <w:rsid w:val="007E7F19"/>
    <w:rsid w:val="007F4A85"/>
    <w:rsid w:val="007F674B"/>
    <w:rsid w:val="007F68BA"/>
    <w:rsid w:val="007F776C"/>
    <w:rsid w:val="00801526"/>
    <w:rsid w:val="00803168"/>
    <w:rsid w:val="00807CDA"/>
    <w:rsid w:val="00812E4A"/>
    <w:rsid w:val="00817DAE"/>
    <w:rsid w:val="00831029"/>
    <w:rsid w:val="0083508B"/>
    <w:rsid w:val="008361E6"/>
    <w:rsid w:val="008363F3"/>
    <w:rsid w:val="00837EAD"/>
    <w:rsid w:val="00840731"/>
    <w:rsid w:val="00841159"/>
    <w:rsid w:val="0084354C"/>
    <w:rsid w:val="008555F6"/>
    <w:rsid w:val="0085756E"/>
    <w:rsid w:val="00857C2D"/>
    <w:rsid w:val="00861F19"/>
    <w:rsid w:val="008627A7"/>
    <w:rsid w:val="00862915"/>
    <w:rsid w:val="00862A80"/>
    <w:rsid w:val="00863D42"/>
    <w:rsid w:val="00866ACA"/>
    <w:rsid w:val="00866D45"/>
    <w:rsid w:val="008709E9"/>
    <w:rsid w:val="008713C2"/>
    <w:rsid w:val="008715B2"/>
    <w:rsid w:val="008715F8"/>
    <w:rsid w:val="00872017"/>
    <w:rsid w:val="008741ED"/>
    <w:rsid w:val="00875720"/>
    <w:rsid w:val="00876547"/>
    <w:rsid w:val="008775A7"/>
    <w:rsid w:val="00877802"/>
    <w:rsid w:val="0088540E"/>
    <w:rsid w:val="00893C51"/>
    <w:rsid w:val="00893CCF"/>
    <w:rsid w:val="00895767"/>
    <w:rsid w:val="008A090F"/>
    <w:rsid w:val="008A4D26"/>
    <w:rsid w:val="008A766B"/>
    <w:rsid w:val="008B0CE0"/>
    <w:rsid w:val="008B5CA3"/>
    <w:rsid w:val="008B5F1F"/>
    <w:rsid w:val="008B734C"/>
    <w:rsid w:val="008C0F05"/>
    <w:rsid w:val="008C2E09"/>
    <w:rsid w:val="008D1687"/>
    <w:rsid w:val="008D54E3"/>
    <w:rsid w:val="008D627C"/>
    <w:rsid w:val="008E4071"/>
    <w:rsid w:val="008E4BC1"/>
    <w:rsid w:val="008E6085"/>
    <w:rsid w:val="008E6FB6"/>
    <w:rsid w:val="008E7F97"/>
    <w:rsid w:val="008F6DA1"/>
    <w:rsid w:val="009064A8"/>
    <w:rsid w:val="00906932"/>
    <w:rsid w:val="009127BD"/>
    <w:rsid w:val="0091593F"/>
    <w:rsid w:val="00921B0A"/>
    <w:rsid w:val="00922AE4"/>
    <w:rsid w:val="009266B0"/>
    <w:rsid w:val="00935E31"/>
    <w:rsid w:val="00947F4B"/>
    <w:rsid w:val="00953B3C"/>
    <w:rsid w:val="009567CC"/>
    <w:rsid w:val="009573E3"/>
    <w:rsid w:val="00957D17"/>
    <w:rsid w:val="00963476"/>
    <w:rsid w:val="00965825"/>
    <w:rsid w:val="00967683"/>
    <w:rsid w:val="0097654A"/>
    <w:rsid w:val="00982C90"/>
    <w:rsid w:val="00983C1F"/>
    <w:rsid w:val="00984D07"/>
    <w:rsid w:val="009905F9"/>
    <w:rsid w:val="009932A0"/>
    <w:rsid w:val="00993889"/>
    <w:rsid w:val="00995D0F"/>
    <w:rsid w:val="00996553"/>
    <w:rsid w:val="009973B9"/>
    <w:rsid w:val="00997CAA"/>
    <w:rsid w:val="009A47E3"/>
    <w:rsid w:val="009A57CC"/>
    <w:rsid w:val="009A6325"/>
    <w:rsid w:val="009B4951"/>
    <w:rsid w:val="009B4F66"/>
    <w:rsid w:val="009B57CA"/>
    <w:rsid w:val="009B6686"/>
    <w:rsid w:val="009B67F4"/>
    <w:rsid w:val="009B6BAB"/>
    <w:rsid w:val="009C0DC2"/>
    <w:rsid w:val="009C18C4"/>
    <w:rsid w:val="009C1E0B"/>
    <w:rsid w:val="009C3640"/>
    <w:rsid w:val="009C3BFC"/>
    <w:rsid w:val="009C67EE"/>
    <w:rsid w:val="009D295F"/>
    <w:rsid w:val="009D5CD7"/>
    <w:rsid w:val="009D7B7B"/>
    <w:rsid w:val="009E2759"/>
    <w:rsid w:val="009E2FC7"/>
    <w:rsid w:val="009F12D0"/>
    <w:rsid w:val="009F27E8"/>
    <w:rsid w:val="009F4C6F"/>
    <w:rsid w:val="00A0419B"/>
    <w:rsid w:val="00A079BB"/>
    <w:rsid w:val="00A1643B"/>
    <w:rsid w:val="00A21EFB"/>
    <w:rsid w:val="00A229C0"/>
    <w:rsid w:val="00A245EA"/>
    <w:rsid w:val="00A2531B"/>
    <w:rsid w:val="00A25621"/>
    <w:rsid w:val="00A3385E"/>
    <w:rsid w:val="00A33A83"/>
    <w:rsid w:val="00A340A4"/>
    <w:rsid w:val="00A34C85"/>
    <w:rsid w:val="00A429CC"/>
    <w:rsid w:val="00A42B01"/>
    <w:rsid w:val="00A43C8A"/>
    <w:rsid w:val="00A43F73"/>
    <w:rsid w:val="00A44900"/>
    <w:rsid w:val="00A4681D"/>
    <w:rsid w:val="00A476B4"/>
    <w:rsid w:val="00A51101"/>
    <w:rsid w:val="00A512B3"/>
    <w:rsid w:val="00A512D2"/>
    <w:rsid w:val="00A564FA"/>
    <w:rsid w:val="00A57D15"/>
    <w:rsid w:val="00A605DF"/>
    <w:rsid w:val="00A60885"/>
    <w:rsid w:val="00A64CC4"/>
    <w:rsid w:val="00A72BB9"/>
    <w:rsid w:val="00A752AA"/>
    <w:rsid w:val="00A77752"/>
    <w:rsid w:val="00A83512"/>
    <w:rsid w:val="00A91FD0"/>
    <w:rsid w:val="00A9327F"/>
    <w:rsid w:val="00A93EFA"/>
    <w:rsid w:val="00A96627"/>
    <w:rsid w:val="00AA1D17"/>
    <w:rsid w:val="00AA401C"/>
    <w:rsid w:val="00AA43F2"/>
    <w:rsid w:val="00AB0FDB"/>
    <w:rsid w:val="00AB2DDE"/>
    <w:rsid w:val="00AC1066"/>
    <w:rsid w:val="00AD04AA"/>
    <w:rsid w:val="00AD0A81"/>
    <w:rsid w:val="00AD28C0"/>
    <w:rsid w:val="00AD44BE"/>
    <w:rsid w:val="00AD5CDF"/>
    <w:rsid w:val="00AE1CF2"/>
    <w:rsid w:val="00AE2375"/>
    <w:rsid w:val="00AE7276"/>
    <w:rsid w:val="00AF12F9"/>
    <w:rsid w:val="00AF6E40"/>
    <w:rsid w:val="00AF7146"/>
    <w:rsid w:val="00B0073D"/>
    <w:rsid w:val="00B044A2"/>
    <w:rsid w:val="00B05EA7"/>
    <w:rsid w:val="00B10284"/>
    <w:rsid w:val="00B15B0C"/>
    <w:rsid w:val="00B17590"/>
    <w:rsid w:val="00B21D1E"/>
    <w:rsid w:val="00B237FA"/>
    <w:rsid w:val="00B2539C"/>
    <w:rsid w:val="00B2742E"/>
    <w:rsid w:val="00B321C6"/>
    <w:rsid w:val="00B40111"/>
    <w:rsid w:val="00B47F02"/>
    <w:rsid w:val="00B5346F"/>
    <w:rsid w:val="00B625AE"/>
    <w:rsid w:val="00B702C5"/>
    <w:rsid w:val="00B72192"/>
    <w:rsid w:val="00B721BA"/>
    <w:rsid w:val="00B746A6"/>
    <w:rsid w:val="00B75680"/>
    <w:rsid w:val="00B765F1"/>
    <w:rsid w:val="00B77284"/>
    <w:rsid w:val="00B8478D"/>
    <w:rsid w:val="00B876F5"/>
    <w:rsid w:val="00BA0059"/>
    <w:rsid w:val="00BA2D33"/>
    <w:rsid w:val="00BA3AB9"/>
    <w:rsid w:val="00BB0855"/>
    <w:rsid w:val="00BB2F8F"/>
    <w:rsid w:val="00BB4B1D"/>
    <w:rsid w:val="00BB6154"/>
    <w:rsid w:val="00BB7221"/>
    <w:rsid w:val="00BC0B0F"/>
    <w:rsid w:val="00BC0D68"/>
    <w:rsid w:val="00BC174A"/>
    <w:rsid w:val="00BE02C6"/>
    <w:rsid w:val="00BE078F"/>
    <w:rsid w:val="00BE1911"/>
    <w:rsid w:val="00BE53A3"/>
    <w:rsid w:val="00BF3CCB"/>
    <w:rsid w:val="00BF4CDC"/>
    <w:rsid w:val="00BF5C8D"/>
    <w:rsid w:val="00C01AB1"/>
    <w:rsid w:val="00C033DE"/>
    <w:rsid w:val="00C055EA"/>
    <w:rsid w:val="00C07541"/>
    <w:rsid w:val="00C0767B"/>
    <w:rsid w:val="00C07742"/>
    <w:rsid w:val="00C07C21"/>
    <w:rsid w:val="00C13A22"/>
    <w:rsid w:val="00C15598"/>
    <w:rsid w:val="00C15AA5"/>
    <w:rsid w:val="00C201C3"/>
    <w:rsid w:val="00C22B63"/>
    <w:rsid w:val="00C22D55"/>
    <w:rsid w:val="00C238D4"/>
    <w:rsid w:val="00C25969"/>
    <w:rsid w:val="00C25BC5"/>
    <w:rsid w:val="00C25D52"/>
    <w:rsid w:val="00C26BD1"/>
    <w:rsid w:val="00C26FA1"/>
    <w:rsid w:val="00C2785D"/>
    <w:rsid w:val="00C31862"/>
    <w:rsid w:val="00C31C57"/>
    <w:rsid w:val="00C368FF"/>
    <w:rsid w:val="00C37866"/>
    <w:rsid w:val="00C40312"/>
    <w:rsid w:val="00C41632"/>
    <w:rsid w:val="00C47339"/>
    <w:rsid w:val="00C505C2"/>
    <w:rsid w:val="00C52CA0"/>
    <w:rsid w:val="00C64A89"/>
    <w:rsid w:val="00C66AAB"/>
    <w:rsid w:val="00C67527"/>
    <w:rsid w:val="00C70179"/>
    <w:rsid w:val="00C779CD"/>
    <w:rsid w:val="00C827EF"/>
    <w:rsid w:val="00C87943"/>
    <w:rsid w:val="00CA3998"/>
    <w:rsid w:val="00CA3DEF"/>
    <w:rsid w:val="00CA58D7"/>
    <w:rsid w:val="00CA66FA"/>
    <w:rsid w:val="00CB2914"/>
    <w:rsid w:val="00CB6B8E"/>
    <w:rsid w:val="00CB7E8E"/>
    <w:rsid w:val="00CC1508"/>
    <w:rsid w:val="00CC635C"/>
    <w:rsid w:val="00CD0425"/>
    <w:rsid w:val="00CD0CF4"/>
    <w:rsid w:val="00CD39A1"/>
    <w:rsid w:val="00CD437F"/>
    <w:rsid w:val="00CD76A2"/>
    <w:rsid w:val="00CE24D5"/>
    <w:rsid w:val="00CE51BC"/>
    <w:rsid w:val="00CE5272"/>
    <w:rsid w:val="00CE6D2F"/>
    <w:rsid w:val="00CF1D5A"/>
    <w:rsid w:val="00D04341"/>
    <w:rsid w:val="00D070BF"/>
    <w:rsid w:val="00D12307"/>
    <w:rsid w:val="00D20CDF"/>
    <w:rsid w:val="00D210AB"/>
    <w:rsid w:val="00D33FC5"/>
    <w:rsid w:val="00D375E4"/>
    <w:rsid w:val="00D4154C"/>
    <w:rsid w:val="00D45E49"/>
    <w:rsid w:val="00D52E60"/>
    <w:rsid w:val="00D64779"/>
    <w:rsid w:val="00D81C2B"/>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35E0"/>
    <w:rsid w:val="00DC52CE"/>
    <w:rsid w:val="00DC782E"/>
    <w:rsid w:val="00DD0B46"/>
    <w:rsid w:val="00DD746E"/>
    <w:rsid w:val="00DE127A"/>
    <w:rsid w:val="00DF5C82"/>
    <w:rsid w:val="00DF72D3"/>
    <w:rsid w:val="00E040FC"/>
    <w:rsid w:val="00E04DB6"/>
    <w:rsid w:val="00E17EE7"/>
    <w:rsid w:val="00E20D8E"/>
    <w:rsid w:val="00E215E2"/>
    <w:rsid w:val="00E238BF"/>
    <w:rsid w:val="00E30EAF"/>
    <w:rsid w:val="00E32040"/>
    <w:rsid w:val="00E359A6"/>
    <w:rsid w:val="00E360C7"/>
    <w:rsid w:val="00E42336"/>
    <w:rsid w:val="00E44FBA"/>
    <w:rsid w:val="00E47AEC"/>
    <w:rsid w:val="00E56B72"/>
    <w:rsid w:val="00E62584"/>
    <w:rsid w:val="00E71EA0"/>
    <w:rsid w:val="00E7483D"/>
    <w:rsid w:val="00E75C93"/>
    <w:rsid w:val="00E81064"/>
    <w:rsid w:val="00E81E03"/>
    <w:rsid w:val="00E82349"/>
    <w:rsid w:val="00E8742E"/>
    <w:rsid w:val="00E87B8E"/>
    <w:rsid w:val="00E9114B"/>
    <w:rsid w:val="00E94F0C"/>
    <w:rsid w:val="00E95AFF"/>
    <w:rsid w:val="00EA1D0A"/>
    <w:rsid w:val="00EA3ADB"/>
    <w:rsid w:val="00EA6F7F"/>
    <w:rsid w:val="00EB1B05"/>
    <w:rsid w:val="00ED028D"/>
    <w:rsid w:val="00ED0E11"/>
    <w:rsid w:val="00ED2BBC"/>
    <w:rsid w:val="00ED3DE0"/>
    <w:rsid w:val="00EE1396"/>
    <w:rsid w:val="00EE2857"/>
    <w:rsid w:val="00EE35A5"/>
    <w:rsid w:val="00EE3D85"/>
    <w:rsid w:val="00EE5336"/>
    <w:rsid w:val="00EE7F64"/>
    <w:rsid w:val="00EF0EC0"/>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6F6A"/>
    <w:rsid w:val="00F370AF"/>
    <w:rsid w:val="00F37E28"/>
    <w:rsid w:val="00F43B4C"/>
    <w:rsid w:val="00F4484B"/>
    <w:rsid w:val="00F44B02"/>
    <w:rsid w:val="00F51208"/>
    <w:rsid w:val="00F5148E"/>
    <w:rsid w:val="00F5309D"/>
    <w:rsid w:val="00F534D6"/>
    <w:rsid w:val="00F538CE"/>
    <w:rsid w:val="00F5441A"/>
    <w:rsid w:val="00F54F59"/>
    <w:rsid w:val="00F5685D"/>
    <w:rsid w:val="00F6010D"/>
    <w:rsid w:val="00F6162F"/>
    <w:rsid w:val="00F61E7D"/>
    <w:rsid w:val="00F6427A"/>
    <w:rsid w:val="00F6507B"/>
    <w:rsid w:val="00F67B5F"/>
    <w:rsid w:val="00F84766"/>
    <w:rsid w:val="00F8503D"/>
    <w:rsid w:val="00F86A3B"/>
    <w:rsid w:val="00F92D3F"/>
    <w:rsid w:val="00FA5EA4"/>
    <w:rsid w:val="00FA64F1"/>
    <w:rsid w:val="00FB0A3C"/>
    <w:rsid w:val="00FB3595"/>
    <w:rsid w:val="00FB775A"/>
    <w:rsid w:val="00FC058A"/>
    <w:rsid w:val="00FC1A46"/>
    <w:rsid w:val="00FC2BBF"/>
    <w:rsid w:val="00FC5D62"/>
    <w:rsid w:val="00FC5ECF"/>
    <w:rsid w:val="00FC5EFF"/>
    <w:rsid w:val="00FD0E7F"/>
    <w:rsid w:val="00FD2CBC"/>
    <w:rsid w:val="00FD6501"/>
    <w:rsid w:val="00FD6C72"/>
    <w:rsid w:val="00FD6E8F"/>
    <w:rsid w:val="00FD7F24"/>
    <w:rsid w:val="00FE1DA6"/>
    <w:rsid w:val="00FE1FDE"/>
    <w:rsid w:val="00FE3F8D"/>
    <w:rsid w:val="00FE6660"/>
    <w:rsid w:val="00FF1C88"/>
    <w:rsid w:val="00FF2143"/>
    <w:rsid w:val="00FF28C6"/>
    <w:rsid w:val="00FF7B99"/>
    <w:rsid w:val="09C23B00"/>
    <w:rsid w:val="44836492"/>
    <w:rsid w:val="4BE178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uiPriority w:val="99"/>
    <w:rPr>
      <w:rFonts w:hAnsi="Courier New" w:cs="Courier New"/>
      <w:kern w:val="2"/>
      <w:sz w:val="21"/>
      <w:szCs w:val="21"/>
    </w:rPr>
  </w:style>
  <w:style w:type="character" w:styleId="a5">
    <w:name w:val="Hyperlink"/>
    <w:rPr>
      <w:color w:val="0000FF"/>
      <w:u w:val="single"/>
    </w:rPr>
  </w:style>
  <w:style w:type="character" w:customStyle="1" w:styleId="a6">
    <w:name w:val="页眉 字符"/>
    <w:link w:val="a7"/>
    <w:uiPriority w:val="99"/>
    <w:rPr>
      <w:sz w:val="18"/>
      <w:szCs w:val="18"/>
    </w:rPr>
  </w:style>
  <w:style w:type="character" w:customStyle="1" w:styleId="a8">
    <w:name w:val="批注框文本 字符"/>
    <w:link w:val="a9"/>
    <w:uiPriority w:val="99"/>
    <w:semiHidden/>
    <w:rPr>
      <w:sz w:val="18"/>
      <w:szCs w:val="18"/>
    </w:rPr>
  </w:style>
  <w:style w:type="character" w:customStyle="1" w:styleId="aa">
    <w:name w:val="批注文字 字符"/>
    <w:link w:val="ab"/>
    <w:uiPriority w:val="99"/>
    <w:semiHidden/>
    <w:rPr>
      <w:kern w:val="2"/>
      <w:sz w:val="21"/>
      <w:szCs w:val="22"/>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ad">
    <w:name w:val="批注主题 字符"/>
    <w:link w:val="ae"/>
    <w:uiPriority w:val="99"/>
    <w:semiHidden/>
    <w:rPr>
      <w:b/>
      <w:bCs/>
      <w:kern w:val="2"/>
      <w:sz w:val="21"/>
      <w:szCs w:val="22"/>
    </w:rPr>
  </w:style>
  <w:style w:type="character" w:customStyle="1" w:styleId="af">
    <w:name w:val="页脚 字符"/>
    <w:link w:val="af0"/>
    <w:uiPriority w:val="99"/>
    <w:rPr>
      <w:sz w:val="18"/>
      <w:szCs w:val="18"/>
    </w:rPr>
  </w:style>
  <w:style w:type="character" w:customStyle="1" w:styleId="ca-2">
    <w:name w:val="ca-2"/>
  </w:style>
  <w:style w:type="character" w:customStyle="1" w:styleId="af1">
    <w:name w:val="正文文本 字符"/>
    <w:link w:val="af2"/>
    <w:uiPriority w:val="1"/>
    <w:rPr>
      <w:rFonts w:ascii="宋体" w:hAnsi="宋体"/>
      <w:sz w:val="24"/>
      <w:szCs w:val="24"/>
      <w:lang w:eastAsia="en-US"/>
    </w:r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b"/>
    <w:next w:val="ab"/>
    <w:link w:val="ad"/>
    <w:uiPriority w:val="99"/>
    <w:unhideWhenUsed/>
    <w:rPr>
      <w:b/>
      <w:bCs/>
    </w:rPr>
  </w:style>
  <w:style w:type="paragraph" w:styleId="a7">
    <w:name w:val="header"/>
    <w:basedOn w:val="a"/>
    <w:link w:val="a6"/>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0">
    <w:name w:val="footer"/>
    <w:basedOn w:val="a"/>
    <w:link w:val="af"/>
    <w:uiPriority w:val="99"/>
    <w:unhideWhenUsed/>
    <w:pPr>
      <w:tabs>
        <w:tab w:val="center" w:pos="4153"/>
        <w:tab w:val="right" w:pos="8306"/>
      </w:tabs>
      <w:snapToGrid w:val="0"/>
      <w:jc w:val="left"/>
    </w:pPr>
    <w:rPr>
      <w:kern w:val="0"/>
      <w:sz w:val="18"/>
      <w:szCs w:val="18"/>
    </w:rPr>
  </w:style>
  <w:style w:type="paragraph" w:styleId="a9">
    <w:name w:val="Balloon Text"/>
    <w:basedOn w:val="a"/>
    <w:link w:val="a8"/>
    <w:uiPriority w:val="99"/>
    <w:unhideWhenUsed/>
    <w:rPr>
      <w:kern w:val="0"/>
      <w:sz w:val="18"/>
      <w:szCs w:val="18"/>
    </w:rPr>
  </w:style>
  <w:style w:type="paragraph" w:styleId="a4">
    <w:name w:val="Plain Text"/>
    <w:basedOn w:val="a"/>
    <w:link w:val="a3"/>
    <w:uiPriority w:val="99"/>
    <w:unhideWhenUsed/>
    <w:pPr>
      <w:jc w:val="left"/>
    </w:pPr>
    <w:rPr>
      <w:rFonts w:hAnsi="Courier New"/>
      <w:szCs w:val="21"/>
    </w:rPr>
  </w:style>
  <w:style w:type="paragraph" w:styleId="af2">
    <w:name w:val="Body Text"/>
    <w:basedOn w:val="a"/>
    <w:link w:val="af1"/>
    <w:uiPriority w:val="1"/>
    <w:qFormat/>
    <w:pPr>
      <w:spacing w:before="36"/>
      <w:ind w:left="581"/>
      <w:jc w:val="left"/>
    </w:pPr>
    <w:rPr>
      <w:rFonts w:ascii="宋体" w:hAnsi="宋体"/>
      <w:kern w:val="0"/>
      <w:sz w:val="24"/>
      <w:szCs w:val="24"/>
      <w:lang w:eastAsia="en-US"/>
    </w:rPr>
  </w:style>
  <w:style w:type="paragraph" w:styleId="ab">
    <w:name w:val="annotation text"/>
    <w:basedOn w:val="a"/>
    <w:link w:val="aa"/>
    <w:uiPriority w:val="99"/>
    <w:unhideWhenUsed/>
    <w:pPr>
      <w:jc w:val="left"/>
    </w:p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7">
      <w:bodyDiv w:val="1"/>
      <w:marLeft w:val="0"/>
      <w:marRight w:val="0"/>
      <w:marTop w:val="0"/>
      <w:marBottom w:val="0"/>
      <w:divBdr>
        <w:top w:val="none" w:sz="0" w:space="0" w:color="auto"/>
        <w:left w:val="none" w:sz="0" w:space="0" w:color="auto"/>
        <w:bottom w:val="none" w:sz="0" w:space="0" w:color="auto"/>
        <w:right w:val="none" w:sz="0" w:space="0" w:color="auto"/>
      </w:divBdr>
    </w:div>
    <w:div w:id="412438723">
      <w:bodyDiv w:val="1"/>
      <w:marLeft w:val="0"/>
      <w:marRight w:val="0"/>
      <w:marTop w:val="0"/>
      <w:marBottom w:val="0"/>
      <w:divBdr>
        <w:top w:val="none" w:sz="0" w:space="0" w:color="auto"/>
        <w:left w:val="none" w:sz="0" w:space="0" w:color="auto"/>
        <w:bottom w:val="none" w:sz="0" w:space="0" w:color="auto"/>
        <w:right w:val="none" w:sz="0" w:space="0" w:color="auto"/>
      </w:divBdr>
    </w:div>
    <w:div w:id="756512442">
      <w:bodyDiv w:val="1"/>
      <w:marLeft w:val="0"/>
      <w:marRight w:val="0"/>
      <w:marTop w:val="0"/>
      <w:marBottom w:val="0"/>
      <w:divBdr>
        <w:top w:val="none" w:sz="0" w:space="0" w:color="auto"/>
        <w:left w:val="none" w:sz="0" w:space="0" w:color="auto"/>
        <w:bottom w:val="none" w:sz="0" w:space="0" w:color="auto"/>
        <w:right w:val="none" w:sz="0" w:space="0" w:color="auto"/>
      </w:divBdr>
    </w:div>
    <w:div w:id="1495609876">
      <w:bodyDiv w:val="1"/>
      <w:marLeft w:val="0"/>
      <w:marRight w:val="0"/>
      <w:marTop w:val="0"/>
      <w:marBottom w:val="0"/>
      <w:divBdr>
        <w:top w:val="none" w:sz="0" w:space="0" w:color="auto"/>
        <w:left w:val="none" w:sz="0" w:space="0" w:color="auto"/>
        <w:bottom w:val="none" w:sz="0" w:space="0" w:color="auto"/>
        <w:right w:val="none" w:sz="0" w:space="0" w:color="auto"/>
      </w:divBdr>
    </w:div>
    <w:div w:id="1753351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DE13-B987-4747-9702-1695C765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4</DocSecurity>
  <Lines>13</Lines>
  <Paragraphs>3</Paragraphs>
  <ScaleCrop>false</ScaleCrop>
  <Company/>
  <LinksUpToDate>false</LinksUpToDate>
  <CharactersWithSpaces>1890</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2022-06-22T16:01:00Z</dcterms:created>
  <dcterms:modified xsi:type="dcterms:W3CDTF">2022-06-22T16:01:00Z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