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61" w:rsidRDefault="002D2B09">
      <w:pPr>
        <w:spacing w:after="0" w:line="240" w:lineRule="auto"/>
        <w:ind w:left="0" w:right="0" w:firstLine="0"/>
        <w:jc w:val="center"/>
        <w:rPr>
          <w:rFonts w:asciiTheme="majorEastAsia" w:eastAsiaTheme="majorEastAsia" w:hAnsiTheme="majorEastAsia"/>
          <w:color w:val="000000"/>
          <w:sz w:val="36"/>
        </w:rPr>
      </w:pPr>
      <w:r>
        <w:rPr>
          <w:rFonts w:asciiTheme="majorEastAsia" w:eastAsiaTheme="majorEastAsia" w:hAnsiTheme="majorEastAsia" w:hint="eastAsia"/>
          <w:color w:val="000000"/>
          <w:sz w:val="36"/>
        </w:rPr>
        <w:t>华安</w:t>
      </w:r>
      <w:r w:rsidR="001A009C">
        <w:rPr>
          <w:rFonts w:asciiTheme="majorEastAsia" w:eastAsiaTheme="majorEastAsia" w:hAnsiTheme="majorEastAsia"/>
          <w:color w:val="000000"/>
          <w:sz w:val="36"/>
        </w:rPr>
        <w:t>基金管理有限公司关于</w:t>
      </w:r>
      <w:r w:rsidR="001A009C">
        <w:rPr>
          <w:rFonts w:asciiTheme="majorEastAsia" w:eastAsiaTheme="majorEastAsia" w:hAnsiTheme="majorEastAsia" w:hint="eastAsia"/>
          <w:color w:val="000000"/>
          <w:sz w:val="36"/>
        </w:rPr>
        <w:t>旗下管理的上海</w:t>
      </w:r>
      <w:r w:rsidR="001A009C">
        <w:rPr>
          <w:rFonts w:asciiTheme="majorEastAsia" w:eastAsiaTheme="majorEastAsia" w:hAnsiTheme="majorEastAsia"/>
          <w:color w:val="000000"/>
          <w:sz w:val="36"/>
        </w:rPr>
        <w:t>证券交易所</w:t>
      </w:r>
      <w:r w:rsidR="001A009C">
        <w:rPr>
          <w:rFonts w:asciiTheme="majorEastAsia" w:eastAsiaTheme="majorEastAsia" w:hAnsiTheme="majorEastAsia" w:hint="eastAsia"/>
          <w:color w:val="000000"/>
          <w:sz w:val="36"/>
        </w:rPr>
        <w:t>上市</w:t>
      </w:r>
      <w:r w:rsidR="001A009C">
        <w:rPr>
          <w:rFonts w:asciiTheme="majorEastAsia" w:eastAsiaTheme="majorEastAsia" w:hAnsiTheme="majorEastAsia"/>
          <w:color w:val="000000"/>
          <w:sz w:val="36"/>
        </w:rPr>
        <w:t>ETF</w:t>
      </w:r>
      <w:r w:rsidR="001A009C">
        <w:rPr>
          <w:rFonts w:asciiTheme="majorEastAsia" w:eastAsiaTheme="majorEastAsia" w:hAnsiTheme="majorEastAsia" w:hint="eastAsia"/>
          <w:color w:val="000000"/>
          <w:sz w:val="36"/>
        </w:rPr>
        <w:t>实施</w:t>
      </w:r>
      <w:r w:rsidR="001A009C">
        <w:rPr>
          <w:rFonts w:asciiTheme="majorEastAsia" w:eastAsiaTheme="majorEastAsia" w:hAnsiTheme="majorEastAsia"/>
          <w:color w:val="000000"/>
          <w:sz w:val="36"/>
        </w:rPr>
        <w:t>申赎业务多码合一的公告</w:t>
      </w:r>
    </w:p>
    <w:p w:rsidR="003D2061" w:rsidRDefault="001A009C">
      <w:pPr>
        <w:adjustRightInd w:val="0"/>
        <w:snapToGrid w:val="0"/>
        <w:spacing w:after="0" w:line="360" w:lineRule="auto"/>
        <w:ind w:left="0" w:right="0" w:firstLineChars="200" w:firstLine="480"/>
        <w:jc w:val="both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 xml:space="preserve"> </w:t>
      </w:r>
    </w:p>
    <w:p w:rsidR="003D2061" w:rsidRDefault="001A009C">
      <w:pPr>
        <w:adjustRightInd w:val="0"/>
        <w:snapToGrid w:val="0"/>
        <w:spacing w:after="0" w:line="360" w:lineRule="auto"/>
        <w:ind w:left="0" w:right="0" w:firstLineChars="200" w:firstLine="480"/>
        <w:jc w:val="both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根据上海证券交易所（以下简称“上交所”）《</w:t>
      </w:r>
      <w:r w:rsidR="0090453E" w:rsidRPr="0090453E"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关于上海证券交易所</w:t>
      </w:r>
      <w:r w:rsidR="0090453E" w:rsidRPr="0090453E"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ETF</w:t>
      </w:r>
      <w:r w:rsidR="0090453E" w:rsidRPr="0090453E"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申赎业务多码合一及平台迁移切换上线有关事项的通知</w:t>
      </w:r>
      <w:bookmarkStart w:id="0" w:name="_GoBack"/>
      <w:bookmarkEnd w:id="0"/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》，自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2</w:t>
      </w: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022</w:t>
      </w: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年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</w:rPr>
        <w:t>6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月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</w:rPr>
        <w:t>20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日起，</w:t>
      </w:r>
      <w:r w:rsidR="00B5703C"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华安</w:t>
      </w: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基金管理有限公司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旗下管理的上交所上市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ETF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将取消申赎业务相关代码，投资者可通过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ETF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基金的证券代码（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</w:rPr>
        <w:t>与交易使用的证券代码相同</w:t>
      </w:r>
      <w:r w:rsidR="00B03327"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）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选择申赎相关业务类型</w:t>
      </w:r>
      <w:r w:rsidR="004547B2"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，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参与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ETF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申赎业务。</w:t>
      </w:r>
    </w:p>
    <w:p w:rsidR="003D2061" w:rsidRDefault="00ED3897">
      <w:pPr>
        <w:pStyle w:val="a3"/>
        <w:adjustRightInd w:val="0"/>
        <w:snapToGrid w:val="0"/>
        <w:spacing w:after="0" w:line="360" w:lineRule="auto"/>
        <w:ind w:left="480" w:right="0" w:firstLineChars="0" w:firstLine="0"/>
        <w:jc w:val="both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华安</w:t>
      </w:r>
      <w:r w:rsidR="001A009C"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基金管理有限公司</w:t>
      </w:r>
      <w:r w:rsidR="001A009C"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旗下涉及的上交所上市</w:t>
      </w:r>
      <w:r w:rsidR="001A009C"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ETF</w:t>
      </w:r>
      <w:r w:rsidR="001A009C"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如下表</w:t>
      </w:r>
      <w:r w:rsidR="001A009C"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：</w:t>
      </w:r>
    </w:p>
    <w:tbl>
      <w:tblPr>
        <w:tblW w:w="10061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"/>
        <w:gridCol w:w="3547"/>
        <w:gridCol w:w="1860"/>
        <w:gridCol w:w="2078"/>
        <w:gridCol w:w="1843"/>
      </w:tblGrid>
      <w:tr w:rsidR="003D2061" w:rsidTr="00621225">
        <w:trPr>
          <w:trHeight w:val="878"/>
        </w:trPr>
        <w:tc>
          <w:tcPr>
            <w:tcW w:w="733" w:type="dxa"/>
            <w:shd w:val="clear" w:color="auto" w:fill="auto"/>
            <w:noWrap/>
            <w:vAlign w:val="center"/>
          </w:tcPr>
          <w:p w:rsidR="003D2061" w:rsidRDefault="001A009C" w:rsidP="00621225">
            <w:pPr>
              <w:spacing w:after="0" w:line="300" w:lineRule="exact"/>
              <w:ind w:left="0" w:right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3D2061" w:rsidRDefault="001A009C" w:rsidP="00621225">
            <w:pPr>
              <w:spacing w:after="0" w:line="300" w:lineRule="exact"/>
              <w:ind w:left="0" w:right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基金全称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3D2061" w:rsidRDefault="001A009C" w:rsidP="00621225">
            <w:pPr>
              <w:spacing w:after="0" w:line="300" w:lineRule="exact"/>
              <w:ind w:left="0" w:right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基金扩位简称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956831" w:rsidRDefault="001A009C" w:rsidP="00621225">
            <w:pPr>
              <w:spacing w:after="0" w:line="300" w:lineRule="exact"/>
              <w:ind w:left="0" w:right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原申赎代码</w:t>
            </w:r>
          </w:p>
          <w:p w:rsidR="003D2061" w:rsidRPr="00956831" w:rsidRDefault="001A009C" w:rsidP="00621225">
            <w:pPr>
              <w:spacing w:after="0" w:line="300" w:lineRule="exact"/>
              <w:ind w:left="0" w:right="0" w:firstLine="0"/>
              <w:jc w:val="center"/>
              <w:rPr>
                <w:b/>
                <w:color w:val="000000"/>
                <w:kern w:val="0"/>
                <w:sz w:val="22"/>
              </w:rPr>
            </w:pPr>
            <w:r w:rsidRPr="00956831">
              <w:rPr>
                <w:rFonts w:hint="eastAsia"/>
                <w:b/>
                <w:color w:val="000000"/>
                <w:kern w:val="0"/>
                <w:sz w:val="22"/>
              </w:rPr>
              <w:t>（取消）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3D2061" w:rsidRDefault="001A009C" w:rsidP="00621225">
            <w:pPr>
              <w:spacing w:after="0" w:line="300" w:lineRule="exact"/>
              <w:ind w:left="0" w:right="0" w:firstLine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多码合一上线后参与申赎业务的证券代码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after="0" w:line="300" w:lineRule="exact"/>
              <w:ind w:left="0" w:right="0" w:firstLine="0"/>
              <w:jc w:val="center"/>
              <w:rPr>
                <w:rFonts w:ascii="等线" w:eastAsia="等线" w:hAnsi="等线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上证180交易型开放式指数证券投资基金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上证180ETF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510181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510180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上证龙头企业交易型开放式指数证券投资基金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上证龙头ETF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510191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510190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3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华安日日鑫货币市场基金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货币ETF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511601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511600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4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华安中证细分医药交易型开放式指数证券投资基金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医药50ETF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512121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512120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华安中证500行业中性低波动交易型开放式指数证券投资基金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中证500低波ETF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512261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512260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6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华安国际龙头（DAX）交易型开放式指数证券投资基金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德国ETF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513031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513030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7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EE08C9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华安法国CAC40交易型开放式指数证券投资基金</w:t>
            </w:r>
            <w:r w:rsidR="00EE08C9">
              <w:rPr>
                <w:rFonts w:ascii="等线" w:eastAsia="等线" w:hAnsi="等线" w:hint="eastAsia"/>
                <w:color w:val="000000"/>
                <w:sz w:val="22"/>
              </w:rPr>
              <w:t>（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QDII</w:t>
            </w:r>
            <w:r w:rsidR="00EE08C9">
              <w:rPr>
                <w:rFonts w:ascii="等线" w:eastAsia="等线" w:hAnsi="等线" w:hint="eastAsia"/>
                <w:color w:val="000000"/>
                <w:sz w:val="22"/>
              </w:rPr>
              <w:t>）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法国CAC40ETF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513081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513080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8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华安恒生科技交易型开放式指数证券投资基金（QDII）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恒生科技ETF基金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513581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513580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9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华安三菱日联日经225交易型开放式指数证券投资基金（QDII）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日经225ETF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513881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513880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10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华安CES港股通精选100交易型开放式指数证券投资基金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港股通100ETF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513901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513900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11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华安中证电子50交易型开放式指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数证券投资基金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电子50ETF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515321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515320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lastRenderedPageBreak/>
              <w:t>12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华安沪深300交易型开放式指数证券投资基金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华安沪深300ETF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515391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515390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13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华安中证全指证券公司交易型开放式指数证券投资基金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证券行业ETF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516201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516200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14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华安中证银行交易型开放式指数证券投资基金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银行股ETF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516211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516210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15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华安中证内地新能源主题交易型开放式指数证券投资基金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新能源50ETF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516271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516270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16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华安中证新能源汽车交易型开放式指数证券投资基金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新能汽车ETF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516661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516660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17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华安中证申万食品饮料交易型开放式指数证券投资基金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食品50ETF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516901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516900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18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华安中证沪港深科技100交易型开放式指数证券投资基金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沪港深科技ETF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517361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517360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19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华安易富黄金交易型开放式证券投资基金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黄金ETF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518881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518880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20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华安上证科创板新一代信息技术交易型开放式指数证券投资基金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科创信息ETF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588261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588260</w:t>
            </w:r>
          </w:p>
        </w:tc>
      </w:tr>
      <w:tr w:rsidR="00293BCD" w:rsidTr="00621225">
        <w:trPr>
          <w:trHeight w:val="290"/>
        </w:trPr>
        <w:tc>
          <w:tcPr>
            <w:tcW w:w="73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21</w:t>
            </w:r>
          </w:p>
        </w:tc>
        <w:tc>
          <w:tcPr>
            <w:tcW w:w="3547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华安上证科创板50成份交易型开放式指数证券投资基金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科创50ETF华安</w:t>
            </w:r>
          </w:p>
        </w:tc>
        <w:tc>
          <w:tcPr>
            <w:tcW w:w="2078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588281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93BCD" w:rsidRDefault="00293BCD" w:rsidP="00621225">
            <w:pPr>
              <w:spacing w:line="300" w:lineRule="exact"/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588280</w:t>
            </w:r>
          </w:p>
        </w:tc>
      </w:tr>
    </w:tbl>
    <w:p w:rsidR="003D2061" w:rsidRDefault="003D2061">
      <w:pPr>
        <w:adjustRightInd w:val="0"/>
        <w:snapToGrid w:val="0"/>
        <w:spacing w:after="0" w:line="360" w:lineRule="auto"/>
        <w:ind w:left="0" w:right="0" w:firstLine="0"/>
        <w:jc w:val="both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</w:p>
    <w:p w:rsidR="003D2061" w:rsidRDefault="001A009C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投资者可以</w:t>
      </w:r>
      <w:r w:rsidR="009B5B5A">
        <w:rPr>
          <w:rFonts w:ascii="Times New Roman" w:hAnsi="Times New Roman" w:cs="Times New Roman" w:hint="eastAsia"/>
          <w:sz w:val="24"/>
          <w:szCs w:val="24"/>
        </w:rPr>
        <w:t>通过</w:t>
      </w:r>
      <w:r w:rsidR="009E73C2">
        <w:rPr>
          <w:rFonts w:ascii="Times New Roman" w:hAnsi="Times New Roman" w:cs="Times New Roman" w:hint="eastAsia"/>
          <w:sz w:val="24"/>
          <w:szCs w:val="24"/>
        </w:rPr>
        <w:t>华安</w:t>
      </w:r>
      <w:r>
        <w:rPr>
          <w:rFonts w:ascii="Times New Roman" w:hAnsi="Times New Roman" w:cs="Times New Roman"/>
          <w:sz w:val="24"/>
          <w:szCs w:val="24"/>
        </w:rPr>
        <w:t>基金管理有限公司网站</w:t>
      </w:r>
      <w:r w:rsidR="00CF42CE" w:rsidRPr="005735DE">
        <w:rPr>
          <w:rFonts w:ascii="Times New Roman" w:hAnsi="Times New Roman" w:cs="Times New Roman"/>
          <w:sz w:val="28"/>
          <w:szCs w:val="24"/>
        </w:rPr>
        <w:t>www.huaan.com.cn</w:t>
      </w:r>
      <w:r>
        <w:rPr>
          <w:rFonts w:ascii="Times New Roman" w:hAnsi="Times New Roman" w:cs="Times New Roman"/>
          <w:sz w:val="24"/>
          <w:szCs w:val="24"/>
        </w:rPr>
        <w:t>或拨打</w:t>
      </w:r>
      <w:r w:rsidR="007C140E">
        <w:rPr>
          <w:rFonts w:ascii="Times New Roman" w:hAnsi="Times New Roman" w:cs="Times New Roman" w:hint="eastAsia"/>
          <w:sz w:val="24"/>
          <w:szCs w:val="24"/>
        </w:rPr>
        <w:t>华安</w:t>
      </w:r>
      <w:r>
        <w:rPr>
          <w:rFonts w:ascii="Times New Roman" w:hAnsi="Times New Roman" w:cs="Times New Roman"/>
          <w:sz w:val="24"/>
          <w:szCs w:val="24"/>
        </w:rPr>
        <w:t>基金管理有限公司客户服务</w:t>
      </w:r>
      <w:r w:rsidR="000E61C5">
        <w:rPr>
          <w:rFonts w:ascii="Times New Roman" w:hAnsi="Times New Roman" w:cs="Times New Roman" w:hint="eastAsia"/>
          <w:sz w:val="24"/>
          <w:szCs w:val="24"/>
        </w:rPr>
        <w:t>电话</w:t>
      </w:r>
      <w:r w:rsidR="00396F52" w:rsidRPr="00396F52">
        <w:rPr>
          <w:rFonts w:ascii="Times New Roman" w:hAnsi="Times New Roman" w:cs="Times New Roman"/>
          <w:sz w:val="24"/>
          <w:szCs w:val="24"/>
        </w:rPr>
        <w:t>40088-50099</w:t>
      </w:r>
      <w:r>
        <w:rPr>
          <w:rFonts w:ascii="Times New Roman" w:hAnsi="Times New Roman" w:cs="Times New Roman"/>
          <w:sz w:val="24"/>
          <w:szCs w:val="24"/>
        </w:rPr>
        <w:t>进行咨询。</w:t>
      </w:r>
    </w:p>
    <w:p w:rsidR="003D2061" w:rsidRPr="0053382E" w:rsidRDefault="001A009C" w:rsidP="0053382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风险提示：基金管理人承诺以诚实信用、勤勉尽责的原则管理和运用基金资产，但不保证基金一定盈利，也不保证最低收益。敬请投资者留意投资风险。</w:t>
      </w:r>
      <w:r>
        <w:rPr>
          <w:rFonts w:ascii="Times New Roman" w:hAnsi="Times New Roman" w:cs="Times New Roman" w:hint="eastAsia"/>
          <w:sz w:val="24"/>
          <w:szCs w:val="24"/>
        </w:rPr>
        <w:t>投资者投资于上述基金前应认真阅读基金的基金合同、更新的招募说明书及相关公告。</w:t>
      </w:r>
    </w:p>
    <w:p w:rsidR="003D2061" w:rsidRDefault="001A009C">
      <w:pPr>
        <w:adjustRightInd w:val="0"/>
        <w:snapToGrid w:val="0"/>
        <w:spacing w:after="0" w:line="360" w:lineRule="auto"/>
        <w:ind w:left="420" w:right="0" w:firstLine="0"/>
        <w:rPr>
          <w:sz w:val="24"/>
          <w:szCs w:val="24"/>
        </w:rPr>
      </w:pPr>
      <w:r>
        <w:rPr>
          <w:sz w:val="24"/>
          <w:szCs w:val="24"/>
        </w:rPr>
        <w:t>特此公告。</w:t>
      </w:r>
    </w:p>
    <w:p w:rsidR="003D2061" w:rsidRDefault="003D2061">
      <w:pPr>
        <w:adjustRightInd w:val="0"/>
        <w:snapToGrid w:val="0"/>
        <w:spacing w:after="0" w:line="360" w:lineRule="auto"/>
        <w:ind w:left="0" w:right="0" w:firstLine="0"/>
        <w:jc w:val="both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</w:p>
    <w:p w:rsidR="003D2061" w:rsidRDefault="001A009C">
      <w:pPr>
        <w:spacing w:after="246" w:line="240" w:lineRule="auto"/>
        <w:ind w:left="0" w:right="0" w:firstLine="0"/>
        <w:jc w:val="right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 xml:space="preserve">  </w:t>
      </w:r>
    </w:p>
    <w:p w:rsidR="003D2061" w:rsidRDefault="00C32496">
      <w:pPr>
        <w:spacing w:after="0"/>
        <w:ind w:left="0" w:firstLine="0"/>
        <w:jc w:val="right"/>
      </w:pP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lastRenderedPageBreak/>
        <w:t>华安</w:t>
      </w:r>
      <w:r w:rsidR="001A009C"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基金管理有限公司</w:t>
      </w:r>
    </w:p>
    <w:p w:rsidR="003D2061" w:rsidRDefault="001A009C">
      <w:pPr>
        <w:spacing w:after="0"/>
        <w:ind w:left="0" w:firstLine="0"/>
        <w:jc w:val="right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2022</w:t>
      </w: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年</w:t>
      </w:r>
      <w:r w:rsidR="002E19B2"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6</w:t>
      </w: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月</w:t>
      </w:r>
      <w:r w:rsidR="002E19B2"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20</w:t>
      </w: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日</w:t>
      </w: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 xml:space="preserve"> </w:t>
      </w:r>
    </w:p>
    <w:p w:rsidR="003D2061" w:rsidRDefault="003D2061"/>
    <w:sectPr w:rsidR="003D2061" w:rsidSect="003C10AC">
      <w:pgSz w:w="11906" w:h="16838"/>
      <w:pgMar w:top="1440" w:right="1694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EC6" w:rsidRDefault="00ED1EC6">
      <w:pPr>
        <w:spacing w:line="240" w:lineRule="auto"/>
      </w:pPr>
      <w:r>
        <w:separator/>
      </w:r>
    </w:p>
  </w:endnote>
  <w:endnote w:type="continuationSeparator" w:id="0">
    <w:p w:rsidR="00ED1EC6" w:rsidRDefault="00ED1EC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EC6" w:rsidRDefault="00ED1EC6">
      <w:pPr>
        <w:spacing w:after="0"/>
      </w:pPr>
      <w:r>
        <w:separator/>
      </w:r>
    </w:p>
  </w:footnote>
  <w:footnote w:type="continuationSeparator" w:id="0">
    <w:p w:rsidR="00ED1EC6" w:rsidRDefault="00ED1EC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UzODAwYTRhNjRhZDQ0ZGNjNGY1NDJlODg5NTljZTEifQ=="/>
  </w:docVars>
  <w:rsids>
    <w:rsidRoot w:val="56940424"/>
    <w:rsid w:val="00034401"/>
    <w:rsid w:val="000E61C5"/>
    <w:rsid w:val="001A009C"/>
    <w:rsid w:val="00293BCD"/>
    <w:rsid w:val="002D2B09"/>
    <w:rsid w:val="002E19B2"/>
    <w:rsid w:val="00337401"/>
    <w:rsid w:val="00375907"/>
    <w:rsid w:val="00396F52"/>
    <w:rsid w:val="003B12B6"/>
    <w:rsid w:val="003C10AC"/>
    <w:rsid w:val="003D2061"/>
    <w:rsid w:val="004547B2"/>
    <w:rsid w:val="004B1F24"/>
    <w:rsid w:val="0053382E"/>
    <w:rsid w:val="00552207"/>
    <w:rsid w:val="005735DE"/>
    <w:rsid w:val="00621225"/>
    <w:rsid w:val="00715F28"/>
    <w:rsid w:val="0075254F"/>
    <w:rsid w:val="007C140E"/>
    <w:rsid w:val="0090453E"/>
    <w:rsid w:val="00916FC2"/>
    <w:rsid w:val="00956831"/>
    <w:rsid w:val="009B5B5A"/>
    <w:rsid w:val="009E73C2"/>
    <w:rsid w:val="00A44C50"/>
    <w:rsid w:val="00A81648"/>
    <w:rsid w:val="00B03327"/>
    <w:rsid w:val="00B5703C"/>
    <w:rsid w:val="00C32496"/>
    <w:rsid w:val="00CC6BFF"/>
    <w:rsid w:val="00CF42CE"/>
    <w:rsid w:val="00D01AE1"/>
    <w:rsid w:val="00E05C63"/>
    <w:rsid w:val="00E91D47"/>
    <w:rsid w:val="00ED1EC6"/>
    <w:rsid w:val="00ED3897"/>
    <w:rsid w:val="00EE08C9"/>
    <w:rsid w:val="2FD573FE"/>
    <w:rsid w:val="56940424"/>
    <w:rsid w:val="692318AD"/>
    <w:rsid w:val="71B931DA"/>
    <w:rsid w:val="76B3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10AC"/>
    <w:pPr>
      <w:spacing w:after="241" w:line="453" w:lineRule="auto"/>
      <w:ind w:left="-5" w:right="-15" w:hanging="10"/>
    </w:pPr>
    <w:rPr>
      <w:rFonts w:ascii="宋体" w:eastAsia="宋体" w:hAnsi="宋体" w:cs="宋体"/>
      <w:color w:val="333333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0AC"/>
    <w:pPr>
      <w:ind w:firstLineChars="200" w:firstLine="420"/>
    </w:pPr>
  </w:style>
  <w:style w:type="paragraph" w:styleId="a4">
    <w:name w:val="header"/>
    <w:basedOn w:val="a"/>
    <w:link w:val="Char"/>
    <w:rsid w:val="00752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5254F"/>
    <w:rPr>
      <w:rFonts w:ascii="宋体" w:eastAsia="宋体" w:hAnsi="宋体" w:cs="宋体"/>
      <w:color w:val="333333"/>
      <w:kern w:val="2"/>
      <w:sz w:val="18"/>
      <w:szCs w:val="18"/>
    </w:rPr>
  </w:style>
  <w:style w:type="paragraph" w:styleId="a5">
    <w:name w:val="footer"/>
    <w:basedOn w:val="a"/>
    <w:link w:val="Char0"/>
    <w:rsid w:val="0075254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5254F"/>
    <w:rPr>
      <w:rFonts w:ascii="宋体" w:eastAsia="宋体" w:hAnsi="宋体" w:cs="宋体"/>
      <w:color w:val="333333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1323</Characters>
  <Application>Microsoft Office Word</Application>
  <DocSecurity>4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ZHONGM</cp:lastModifiedBy>
  <cp:revision>2</cp:revision>
  <dcterms:created xsi:type="dcterms:W3CDTF">2022-06-19T16:01:00Z</dcterms:created>
  <dcterms:modified xsi:type="dcterms:W3CDTF">2022-06-19T16:01:00Z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271313A3502F4351A91F4679F4E99F5F</vt:lpwstr>
  </property>
</Properties>
</file>