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8E" w:rsidRPr="001E623F" w:rsidRDefault="00E95853">
      <w:pPr>
        <w:spacing w:after="0" w:line="240" w:lineRule="auto"/>
        <w:ind w:left="0" w:right="0" w:firstLine="0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1E623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华宝</w:t>
      </w:r>
      <w:r w:rsidR="00D01DC8" w:rsidRPr="001E623F">
        <w:rPr>
          <w:rFonts w:asciiTheme="majorEastAsia" w:eastAsiaTheme="majorEastAsia" w:hAnsiTheme="majorEastAsia"/>
          <w:b/>
          <w:color w:val="000000"/>
          <w:sz w:val="32"/>
          <w:szCs w:val="32"/>
        </w:rPr>
        <w:t>基金管理有限公司关于</w:t>
      </w:r>
      <w:r w:rsidR="00D01DC8" w:rsidRPr="001E623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旗下管理的上海</w:t>
      </w:r>
      <w:r w:rsidR="00D01DC8" w:rsidRPr="001E623F">
        <w:rPr>
          <w:rFonts w:asciiTheme="majorEastAsia" w:eastAsiaTheme="majorEastAsia" w:hAnsiTheme="majorEastAsia"/>
          <w:b/>
          <w:color w:val="000000"/>
          <w:sz w:val="32"/>
          <w:szCs w:val="32"/>
        </w:rPr>
        <w:t>证券交易所</w:t>
      </w:r>
      <w:r w:rsidR="00D01DC8" w:rsidRPr="001E623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上市</w:t>
      </w:r>
      <w:r w:rsidR="00D01DC8" w:rsidRPr="001E623F">
        <w:rPr>
          <w:rFonts w:asciiTheme="majorEastAsia" w:eastAsiaTheme="majorEastAsia" w:hAnsiTheme="majorEastAsia"/>
          <w:b/>
          <w:color w:val="000000"/>
          <w:sz w:val="32"/>
          <w:szCs w:val="32"/>
        </w:rPr>
        <w:t>ETF</w:t>
      </w:r>
      <w:r w:rsidR="00D01DC8" w:rsidRPr="001E623F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实施</w:t>
      </w:r>
      <w:r w:rsidR="00D01DC8" w:rsidRPr="001E623F">
        <w:rPr>
          <w:rFonts w:asciiTheme="majorEastAsia" w:eastAsiaTheme="majorEastAsia" w:hAnsiTheme="majorEastAsia"/>
          <w:b/>
          <w:color w:val="000000"/>
          <w:sz w:val="32"/>
          <w:szCs w:val="32"/>
        </w:rPr>
        <w:t>申赎业务多码合一的公告</w:t>
      </w:r>
    </w:p>
    <w:p w:rsidR="00483AF9" w:rsidRDefault="00483AF9" w:rsidP="00483AF9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Theme="minorEastAsia" w:eastAsiaTheme="minorEastAsia" w:hAnsiTheme="minorEastAsia" w:cs="Times New Roman"/>
          <w:bCs/>
          <w:color w:val="auto"/>
          <w:szCs w:val="21"/>
        </w:rPr>
      </w:pPr>
    </w:p>
    <w:p w:rsidR="00B83F8E" w:rsidRPr="001E623F" w:rsidRDefault="00E95853" w:rsidP="00483AF9">
      <w:pPr>
        <w:adjustRightInd w:val="0"/>
        <w:snapToGrid w:val="0"/>
        <w:spacing w:after="0" w:line="360" w:lineRule="auto"/>
        <w:ind w:left="0" w:right="0" w:firstLineChars="200" w:firstLine="420"/>
        <w:jc w:val="both"/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</w:pP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根据上海证券交易所（以下简称“上交所”）《</w:t>
      </w:r>
      <w:r w:rsidR="006014A7" w:rsidRPr="006014A7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关于上海证券交易所</w:t>
      </w:r>
      <w:r w:rsidR="006014A7" w:rsidRPr="006014A7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ETF申赎业务多码合一及平台迁移切换上线有关事项的通知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》，自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2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022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年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</w:rPr>
        <w:t>6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月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</w:rPr>
        <w:t>20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日起，</w:t>
      </w:r>
      <w:r w:rsidR="00DF6E78"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华宝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基金管理有限公司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旗下管理的上交所上市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ETF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将取消申赎业务相关代码，投资者可通过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ETF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的证券代码（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</w:rPr>
        <w:t>与交易使用的证券代码相同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），选择申赎相关业务类型，参与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ETF</w:t>
      </w: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申赎业务。</w:t>
      </w:r>
    </w:p>
    <w:p w:rsidR="00B83F8E" w:rsidRPr="00483AF9" w:rsidRDefault="00E95853" w:rsidP="00483AF9">
      <w:pPr>
        <w:adjustRightInd w:val="0"/>
        <w:snapToGrid w:val="0"/>
        <w:spacing w:after="0" w:line="360" w:lineRule="auto"/>
        <w:ind w:left="0" w:right="0" w:firstLineChars="200" w:firstLine="420"/>
        <w:jc w:val="both"/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</w:pPr>
      <w:r w:rsidRPr="00483AF9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华宝</w:t>
      </w:r>
      <w:r w:rsidR="00D01DC8" w:rsidRPr="00483AF9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基金管理有限公司</w:t>
      </w:r>
      <w:r w:rsidR="00D01DC8" w:rsidRPr="00483AF9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旗下涉及的上交所上市ETF如下表</w:t>
      </w:r>
      <w:r w:rsidR="00D01DC8" w:rsidRPr="00483AF9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：</w:t>
      </w:r>
    </w:p>
    <w:tbl>
      <w:tblPr>
        <w:tblW w:w="10572" w:type="dxa"/>
        <w:jc w:val="center"/>
        <w:tblLook w:val="04A0"/>
      </w:tblPr>
      <w:tblGrid>
        <w:gridCol w:w="680"/>
        <w:gridCol w:w="5269"/>
        <w:gridCol w:w="1635"/>
        <w:gridCol w:w="1276"/>
        <w:gridCol w:w="1712"/>
      </w:tblGrid>
      <w:tr w:rsidR="0086156C" w:rsidTr="006E0BA4">
        <w:trPr>
          <w:trHeight w:val="50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B0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5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B0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基金全称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B0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基金扩位简称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FB0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原申赎代码（取消）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FB0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多码合一上线后参与申赎业务的证券代码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上证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180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价值交易型开放式指数证券投资基金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价值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510031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510030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华宝现金添益交易型货币市场基金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华宝添益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511991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511990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华宝中证全指证券公司交易型开放式指数证券投资基金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券商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512000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华宝中证医疗交易型开放式指数证券投资基金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医疗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512171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512170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华宝中证银行交易型开放式指数证券投资基金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银行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512800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华宝中证军工交易型开放式指数证券投资基金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国防军工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512811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512810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华宝中证港股通互联网交易型开放式指数证券投资基金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港股互联网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513771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513770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华宝中证科技龙头交易型开放式指数证券投资基金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科技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515001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515000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9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华宝中证电子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50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电子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515261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515260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10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华宝中证细分食品饮料产业主题交易型开放式指数证券投资基金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食品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515711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515710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11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华宝中证细分化工产业主题交易型开放式指数证券投资基金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化工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516020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12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华宝中证消费龙头交易型开放式指数证券投资基金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消费龙头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516131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516130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13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华宝中证新材料主题交易型开放式指数证券投资基金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新材料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516361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516360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14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华宝中证智能电动汽车交易型开放式指数证券投资基金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智能电动车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516381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516380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15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华宝中证养老产业交易型开放式指数证券投资基金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养老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516561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516560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16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华宝中证大数据产业交易型开放式指数证券投资基金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大数据产业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516701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516700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17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华宝中证智能制造主题交易型开放式指数证券投资基金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BA51D5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智能制造</w:t>
            </w:r>
            <w:r w:rsidRPr="00BA51D5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516801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516800</w:t>
            </w:r>
          </w:p>
        </w:tc>
      </w:tr>
      <w:tr w:rsidR="0086156C" w:rsidTr="006E0BA4">
        <w:trPr>
          <w:trHeight w:val="26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18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华宝中证科创创业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50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交易型开放式指数证券投资基金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双创龙头</w:t>
            </w: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ETF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588331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23F" w:rsidRPr="001E623F" w:rsidRDefault="00E95853" w:rsidP="001E623F">
            <w:pPr>
              <w:spacing w:after="0" w:line="240" w:lineRule="auto"/>
              <w:ind w:left="0" w:right="0" w:firstLine="0"/>
              <w:jc w:val="center"/>
              <w:rPr>
                <w:rFonts w:asciiTheme="minorEastAsia" w:eastAsiaTheme="minorEastAsia" w:hAnsiTheme="minorEastAsia" w:cs="Arial"/>
                <w:color w:val="auto"/>
                <w:kern w:val="0"/>
                <w:szCs w:val="21"/>
              </w:rPr>
            </w:pPr>
            <w:r w:rsidRPr="001E623F">
              <w:rPr>
                <w:rFonts w:asciiTheme="minorEastAsia" w:eastAsiaTheme="minorEastAsia" w:hAnsiTheme="minorEastAsia" w:cs="Arial" w:hint="eastAsia"/>
                <w:color w:val="auto"/>
                <w:kern w:val="0"/>
                <w:szCs w:val="21"/>
              </w:rPr>
              <w:t>588330</w:t>
            </w:r>
          </w:p>
        </w:tc>
      </w:tr>
    </w:tbl>
    <w:p w:rsidR="00B83F8E" w:rsidRPr="001E623F" w:rsidRDefault="00B83F8E">
      <w:pPr>
        <w:adjustRightInd w:val="0"/>
        <w:snapToGrid w:val="0"/>
        <w:spacing w:after="0" w:line="360" w:lineRule="auto"/>
        <w:ind w:left="0" w:right="0" w:firstLineChars="200" w:firstLine="420"/>
        <w:jc w:val="both"/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</w:pPr>
    </w:p>
    <w:p w:rsidR="00B83F8E" w:rsidRPr="001E623F" w:rsidRDefault="00E95853">
      <w:pPr>
        <w:spacing w:line="360" w:lineRule="auto"/>
        <w:ind w:firstLineChars="200" w:firstLine="420"/>
        <w:rPr>
          <w:rFonts w:asciiTheme="minorEastAsia" w:eastAsiaTheme="minorEastAsia" w:hAnsiTheme="minorEastAsia" w:cs="Times New Roman"/>
          <w:szCs w:val="21"/>
        </w:rPr>
      </w:pPr>
      <w:r w:rsidRPr="001E623F">
        <w:rPr>
          <w:rFonts w:asciiTheme="minorEastAsia" w:eastAsiaTheme="minorEastAsia" w:hAnsiTheme="minorEastAsia" w:cs="Times New Roman"/>
          <w:szCs w:val="21"/>
        </w:rPr>
        <w:t>投资者可以登陆</w:t>
      </w:r>
      <w:r w:rsidR="00DF6E78" w:rsidRPr="001E623F">
        <w:rPr>
          <w:rFonts w:asciiTheme="minorEastAsia" w:eastAsiaTheme="minorEastAsia" w:hAnsiTheme="minorEastAsia" w:cs="Times New Roman" w:hint="eastAsia"/>
          <w:szCs w:val="21"/>
        </w:rPr>
        <w:t>华宝</w:t>
      </w:r>
      <w:r w:rsidRPr="001E623F">
        <w:rPr>
          <w:rFonts w:asciiTheme="minorEastAsia" w:eastAsiaTheme="minorEastAsia" w:hAnsiTheme="minorEastAsia" w:cs="Times New Roman"/>
          <w:szCs w:val="21"/>
        </w:rPr>
        <w:t>基金管理有限公司网站</w:t>
      </w:r>
      <w:r w:rsidR="00A117A9">
        <w:rPr>
          <w:rFonts w:asciiTheme="minorEastAsia" w:eastAsiaTheme="minorEastAsia" w:hAnsiTheme="minorEastAsia" w:cs="Times New Roman"/>
          <w:szCs w:val="21"/>
        </w:rPr>
        <w:t>（</w:t>
      </w:r>
      <w:hyperlink r:id="rId4" w:history="1">
        <w:r w:rsidR="00A117A9" w:rsidRPr="00A117A9">
          <w:t>www.fsfund.com</w:t>
        </w:r>
      </w:hyperlink>
      <w:r w:rsidR="00A117A9">
        <w:rPr>
          <w:rFonts w:asciiTheme="minorEastAsia" w:eastAsiaTheme="minorEastAsia" w:hAnsiTheme="minorEastAsia" w:cs="Times New Roman"/>
          <w:szCs w:val="21"/>
        </w:rPr>
        <w:t>）</w:t>
      </w:r>
      <w:r w:rsidRPr="001E623F">
        <w:rPr>
          <w:rFonts w:asciiTheme="minorEastAsia" w:eastAsiaTheme="minorEastAsia" w:hAnsiTheme="minorEastAsia" w:cs="Times New Roman"/>
          <w:szCs w:val="21"/>
        </w:rPr>
        <w:t>或拨打</w:t>
      </w:r>
      <w:r w:rsidR="00A639E4">
        <w:rPr>
          <w:rFonts w:asciiTheme="minorEastAsia" w:eastAsiaTheme="minorEastAsia" w:hAnsiTheme="minorEastAsia" w:cs="Times New Roman" w:hint="eastAsia"/>
          <w:szCs w:val="21"/>
        </w:rPr>
        <w:t>华宝</w:t>
      </w:r>
      <w:r w:rsidRPr="001E623F">
        <w:rPr>
          <w:rFonts w:asciiTheme="minorEastAsia" w:eastAsiaTheme="minorEastAsia" w:hAnsiTheme="minorEastAsia" w:cs="Times New Roman"/>
          <w:szCs w:val="21"/>
        </w:rPr>
        <w:t>基金管理有限公司客户服务热线</w:t>
      </w:r>
      <w:r w:rsidR="00A117A9">
        <w:rPr>
          <w:rFonts w:asciiTheme="minorEastAsia" w:eastAsiaTheme="minorEastAsia" w:hAnsiTheme="minorEastAsia" w:cs="Times New Roman"/>
          <w:szCs w:val="21"/>
        </w:rPr>
        <w:t>（</w:t>
      </w:r>
      <w:r w:rsidR="00DF6E78" w:rsidRPr="001E623F">
        <w:rPr>
          <w:rFonts w:asciiTheme="minorEastAsia" w:eastAsiaTheme="minorEastAsia" w:hAnsiTheme="minorEastAsia" w:cs="Times New Roman"/>
          <w:szCs w:val="21"/>
        </w:rPr>
        <w:t>400</w:t>
      </w:r>
      <w:r w:rsidR="00F60043" w:rsidRPr="001E623F">
        <w:rPr>
          <w:rFonts w:asciiTheme="minorEastAsia" w:eastAsiaTheme="minorEastAsia" w:hAnsiTheme="minorEastAsia" w:cs="Times New Roman"/>
          <w:szCs w:val="21"/>
        </w:rPr>
        <w:t>-</w:t>
      </w:r>
      <w:r w:rsidR="00DF6E78" w:rsidRPr="001E623F">
        <w:rPr>
          <w:rFonts w:asciiTheme="minorEastAsia" w:eastAsiaTheme="minorEastAsia" w:hAnsiTheme="minorEastAsia" w:cs="Times New Roman"/>
          <w:szCs w:val="21"/>
        </w:rPr>
        <w:t>700</w:t>
      </w:r>
      <w:r w:rsidR="00F60043" w:rsidRPr="001E623F">
        <w:rPr>
          <w:rFonts w:asciiTheme="minorEastAsia" w:eastAsiaTheme="minorEastAsia" w:hAnsiTheme="minorEastAsia" w:cs="Times New Roman"/>
          <w:szCs w:val="21"/>
        </w:rPr>
        <w:t>-</w:t>
      </w:r>
      <w:r w:rsidR="00DF6E78" w:rsidRPr="001E623F">
        <w:rPr>
          <w:rFonts w:asciiTheme="minorEastAsia" w:eastAsiaTheme="minorEastAsia" w:hAnsiTheme="minorEastAsia" w:cs="Times New Roman"/>
          <w:szCs w:val="21"/>
        </w:rPr>
        <w:t>5588、400</w:t>
      </w:r>
      <w:r w:rsidR="00F60043" w:rsidRPr="001E623F">
        <w:rPr>
          <w:rFonts w:asciiTheme="minorEastAsia" w:eastAsiaTheme="minorEastAsia" w:hAnsiTheme="minorEastAsia" w:cs="Times New Roman"/>
          <w:szCs w:val="21"/>
        </w:rPr>
        <w:t>-</w:t>
      </w:r>
      <w:r w:rsidR="00DF6E78" w:rsidRPr="001E623F">
        <w:rPr>
          <w:rFonts w:asciiTheme="minorEastAsia" w:eastAsiaTheme="minorEastAsia" w:hAnsiTheme="minorEastAsia" w:cs="Times New Roman"/>
          <w:szCs w:val="21"/>
        </w:rPr>
        <w:t>820</w:t>
      </w:r>
      <w:r w:rsidR="00F60043" w:rsidRPr="001E623F">
        <w:rPr>
          <w:rFonts w:asciiTheme="minorEastAsia" w:eastAsiaTheme="minorEastAsia" w:hAnsiTheme="minorEastAsia" w:cs="Times New Roman"/>
          <w:szCs w:val="21"/>
        </w:rPr>
        <w:t>-</w:t>
      </w:r>
      <w:r w:rsidR="00DF6E78" w:rsidRPr="001E623F">
        <w:rPr>
          <w:rFonts w:asciiTheme="minorEastAsia" w:eastAsiaTheme="minorEastAsia" w:hAnsiTheme="minorEastAsia" w:cs="Times New Roman"/>
          <w:szCs w:val="21"/>
        </w:rPr>
        <w:t>5050</w:t>
      </w:r>
      <w:r w:rsidR="00A117A9">
        <w:rPr>
          <w:rFonts w:asciiTheme="minorEastAsia" w:eastAsiaTheme="minorEastAsia" w:hAnsiTheme="minorEastAsia" w:cs="Times New Roman"/>
          <w:szCs w:val="21"/>
        </w:rPr>
        <w:t>）</w:t>
      </w:r>
      <w:r w:rsidRPr="001E623F">
        <w:rPr>
          <w:rFonts w:asciiTheme="minorEastAsia" w:eastAsiaTheme="minorEastAsia" w:hAnsiTheme="minorEastAsia" w:cs="Times New Roman"/>
          <w:szCs w:val="21"/>
        </w:rPr>
        <w:t>进行相关咨询。</w:t>
      </w:r>
    </w:p>
    <w:p w:rsidR="00B83F8E" w:rsidRDefault="00E95853" w:rsidP="001E623F">
      <w:pPr>
        <w:adjustRightInd w:val="0"/>
        <w:snapToGrid w:val="0"/>
        <w:spacing w:after="0" w:line="360" w:lineRule="auto"/>
        <w:ind w:left="0" w:right="0" w:firstLineChars="200" w:firstLine="420"/>
        <w:jc w:val="both"/>
        <w:rPr>
          <w:rFonts w:asciiTheme="minorEastAsia" w:eastAsiaTheme="minorEastAsia" w:hAnsiTheme="minorEastAsia" w:cs="Times New Roman"/>
          <w:szCs w:val="21"/>
        </w:rPr>
      </w:pPr>
      <w:r w:rsidRPr="001E623F">
        <w:rPr>
          <w:rFonts w:asciiTheme="minorEastAsia" w:eastAsiaTheme="minorEastAsia" w:hAnsiTheme="minorEastAsia" w:cs="Times New Roman"/>
          <w:szCs w:val="21"/>
        </w:rPr>
        <w:t>风险提示：基金管理人承诺以诚实信用、勤勉尽责的原则管理和运用基金资产，但不保证基金一定盈利，也不保证最低收益。敬请投资者留意投资风险。</w:t>
      </w:r>
      <w:r w:rsidRPr="001E623F">
        <w:rPr>
          <w:rFonts w:asciiTheme="minorEastAsia" w:eastAsiaTheme="minorEastAsia" w:hAnsiTheme="minorEastAsia" w:cs="Times New Roman" w:hint="eastAsia"/>
          <w:szCs w:val="21"/>
        </w:rPr>
        <w:t>投资者投资于上述基金前应认真阅读基金的基金合同、招募说明书</w:t>
      </w:r>
      <w:r w:rsidR="00DF6E78" w:rsidRPr="001E623F">
        <w:rPr>
          <w:rFonts w:asciiTheme="minorEastAsia" w:eastAsiaTheme="minorEastAsia" w:hAnsiTheme="minorEastAsia" w:cs="Times New Roman" w:hint="eastAsia"/>
          <w:szCs w:val="21"/>
        </w:rPr>
        <w:t>、基金产品资料概要</w:t>
      </w:r>
      <w:r w:rsidRPr="001E623F">
        <w:rPr>
          <w:rFonts w:asciiTheme="minorEastAsia" w:eastAsiaTheme="minorEastAsia" w:hAnsiTheme="minorEastAsia" w:cs="Times New Roman" w:hint="eastAsia"/>
          <w:szCs w:val="21"/>
        </w:rPr>
        <w:t>及相关公告。</w:t>
      </w:r>
    </w:p>
    <w:p w:rsidR="00B83F8E" w:rsidRPr="001E623F" w:rsidRDefault="00E95853">
      <w:pPr>
        <w:adjustRightInd w:val="0"/>
        <w:snapToGrid w:val="0"/>
        <w:spacing w:after="0" w:line="360" w:lineRule="auto"/>
        <w:ind w:left="420" w:right="0" w:firstLine="0"/>
        <w:rPr>
          <w:rFonts w:asciiTheme="minorEastAsia" w:eastAsiaTheme="minorEastAsia" w:hAnsiTheme="minorEastAsia"/>
          <w:szCs w:val="21"/>
        </w:rPr>
      </w:pPr>
      <w:r w:rsidRPr="001E623F">
        <w:rPr>
          <w:rFonts w:asciiTheme="minorEastAsia" w:eastAsiaTheme="minorEastAsia" w:hAnsiTheme="minorEastAsia"/>
          <w:szCs w:val="21"/>
        </w:rPr>
        <w:t>特此公告。</w:t>
      </w:r>
    </w:p>
    <w:p w:rsidR="00483AF9" w:rsidRDefault="00E95853" w:rsidP="00483AF9">
      <w:pPr>
        <w:spacing w:after="246" w:line="240" w:lineRule="auto"/>
        <w:ind w:left="0" w:right="0" w:firstLine="0"/>
        <w:jc w:val="right"/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</w:pPr>
      <w:r w:rsidRPr="001E623F">
        <w:rPr>
          <w:rFonts w:asciiTheme="minorEastAsia" w:eastAsiaTheme="minorEastAsia" w:hAnsiTheme="minorEastAsia" w:cs="Times New Roman" w:hint="eastAsia"/>
          <w:bCs/>
          <w:color w:val="auto"/>
          <w:szCs w:val="21"/>
          <w:lang w:val="zh-CN"/>
        </w:rPr>
        <w:t>华宝</w:t>
      </w:r>
      <w:r w:rsidR="00D01DC8"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基金管理有限公司</w:t>
      </w:r>
    </w:p>
    <w:p w:rsidR="00B83F8E" w:rsidRPr="00483AF9" w:rsidRDefault="00E95853" w:rsidP="00483AF9">
      <w:pPr>
        <w:spacing w:after="246" w:line="240" w:lineRule="auto"/>
        <w:ind w:left="0" w:right="0" w:firstLine="0"/>
        <w:jc w:val="right"/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</w:pP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2022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年</w:t>
      </w:r>
      <w:r w:rsidR="00DF6E78"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6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月</w:t>
      </w:r>
      <w:r w:rsidR="001E1805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18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>日</w:t>
      </w:r>
      <w:r w:rsidRPr="001E623F">
        <w:rPr>
          <w:rFonts w:asciiTheme="minorEastAsia" w:eastAsiaTheme="minorEastAsia" w:hAnsiTheme="minorEastAsia" w:cs="Times New Roman"/>
          <w:bCs/>
          <w:color w:val="auto"/>
          <w:szCs w:val="21"/>
          <w:lang w:val="zh-CN"/>
        </w:rPr>
        <w:t xml:space="preserve"> </w:t>
      </w:r>
      <w:bookmarkStart w:id="0" w:name="_GoBack"/>
      <w:bookmarkEnd w:id="0"/>
    </w:p>
    <w:sectPr w:rsidR="00B83F8E" w:rsidRPr="00483AF9" w:rsidSect="0086156C">
      <w:pgSz w:w="11906" w:h="16838"/>
      <w:pgMar w:top="1440" w:right="169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zODAwYTRhNjRhZDQ0ZGNjNGY1NDJlODg5NTljZTEifQ=="/>
  </w:docVars>
  <w:rsids>
    <w:rsidRoot w:val="56940424"/>
    <w:rsid w:val="00131343"/>
    <w:rsid w:val="00157FB0"/>
    <w:rsid w:val="001E1805"/>
    <w:rsid w:val="001E623F"/>
    <w:rsid w:val="00481547"/>
    <w:rsid w:val="00483AF9"/>
    <w:rsid w:val="006014A7"/>
    <w:rsid w:val="006E0BA4"/>
    <w:rsid w:val="008565FF"/>
    <w:rsid w:val="0086156C"/>
    <w:rsid w:val="00A117A9"/>
    <w:rsid w:val="00A639E4"/>
    <w:rsid w:val="00B83F8E"/>
    <w:rsid w:val="00BA51D5"/>
    <w:rsid w:val="00D01DC8"/>
    <w:rsid w:val="00DE23ED"/>
    <w:rsid w:val="00DF6E78"/>
    <w:rsid w:val="00E55A75"/>
    <w:rsid w:val="00E95853"/>
    <w:rsid w:val="00F524FE"/>
    <w:rsid w:val="00F60043"/>
    <w:rsid w:val="00FE59E9"/>
    <w:rsid w:val="2FD573FE"/>
    <w:rsid w:val="56940424"/>
    <w:rsid w:val="692318AD"/>
    <w:rsid w:val="71B931DA"/>
    <w:rsid w:val="76B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56C"/>
    <w:pPr>
      <w:spacing w:after="241" w:line="453" w:lineRule="auto"/>
      <w:ind w:left="-5" w:right="-15" w:hanging="10"/>
    </w:pPr>
    <w:rPr>
      <w:rFonts w:ascii="宋体" w:eastAsia="宋体" w:hAnsi="宋体" w:cs="宋体"/>
      <w:color w:val="333333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6C"/>
    <w:pPr>
      <w:ind w:firstLineChars="200" w:firstLine="420"/>
    </w:pPr>
  </w:style>
  <w:style w:type="paragraph" w:styleId="a4">
    <w:name w:val="Balloon Text"/>
    <w:basedOn w:val="a"/>
    <w:link w:val="Char"/>
    <w:rsid w:val="00157FB0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rsid w:val="00157FB0"/>
    <w:rPr>
      <w:rFonts w:ascii="宋体" w:eastAsia="宋体" w:hAnsi="宋体" w:cs="宋体"/>
      <w:color w:val="333333"/>
      <w:kern w:val="2"/>
      <w:sz w:val="18"/>
      <w:szCs w:val="18"/>
    </w:rPr>
  </w:style>
  <w:style w:type="paragraph" w:styleId="a5">
    <w:name w:val="header"/>
    <w:basedOn w:val="a"/>
    <w:link w:val="Char0"/>
    <w:rsid w:val="0048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481547"/>
    <w:rPr>
      <w:rFonts w:ascii="宋体" w:eastAsia="宋体" w:hAnsi="宋体" w:cs="宋体"/>
      <w:color w:val="333333"/>
      <w:kern w:val="2"/>
      <w:sz w:val="18"/>
      <w:szCs w:val="18"/>
    </w:rPr>
  </w:style>
  <w:style w:type="paragraph" w:styleId="a6">
    <w:name w:val="footer"/>
    <w:basedOn w:val="a"/>
    <w:link w:val="Char1"/>
    <w:rsid w:val="0048154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481547"/>
    <w:rPr>
      <w:rFonts w:ascii="宋体" w:eastAsia="宋体" w:hAnsi="宋体" w:cs="宋体"/>
      <w:color w:val="333333"/>
      <w:kern w:val="2"/>
      <w:sz w:val="18"/>
      <w:szCs w:val="18"/>
    </w:rPr>
  </w:style>
  <w:style w:type="character" w:styleId="a7">
    <w:name w:val="Hyperlink"/>
    <w:basedOn w:val="a0"/>
    <w:rsid w:val="00A117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s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4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华宝基金管理有限公司关于旗下管理的上海证券交易所上市ETF实施申赎业务多码合一的公告</dc:title>
  <dc:creator>sse</dc:creator>
  <cp:lastModifiedBy>ZHONGM</cp:lastModifiedBy>
  <cp:revision>2</cp:revision>
  <dcterms:created xsi:type="dcterms:W3CDTF">2022-06-17T16:01:00Z</dcterms:created>
  <dcterms:modified xsi:type="dcterms:W3CDTF">2022-06-17T16:01:00Z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271313A3502F4351A91F4679F4E99F5F</vt:lpwstr>
  </property>
  <property fmtid="{D5CDD505-2E9C-101B-9397-08002B2CF9AE}" pid="3" name="KSOProductBuildVer">
    <vt:lpwstr>2052-11.1.0.11807</vt:lpwstr>
  </property>
</Properties>
</file>