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8A" w:rsidRDefault="0010401F">
      <w:pPr>
        <w:spacing w:line="360" w:lineRule="auto"/>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九泰基金管理有限公司关于九泰鸿祥服务升级灵活配置混合型证券投资基金发生基金合同终止事由暨基金财产清算安排的公告</w:t>
      </w:r>
    </w:p>
    <w:p w:rsidR="006C198A" w:rsidRDefault="006C198A">
      <w:pPr>
        <w:spacing w:line="360" w:lineRule="auto"/>
        <w:rPr>
          <w:rFonts w:asciiTheme="minorEastAsia" w:hAnsiTheme="minorEastAsia"/>
          <w:sz w:val="24"/>
          <w:szCs w:val="24"/>
        </w:rPr>
      </w:pPr>
    </w:p>
    <w:p w:rsidR="006C198A" w:rsidRDefault="0010401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根据《中华人民共和国证券投资基金法》、《公开募集证券投资基金运作管理办法》的相关</w:t>
      </w:r>
      <w:r>
        <w:rPr>
          <w:rFonts w:asciiTheme="minorEastAsia" w:hAnsiTheme="minorEastAsia"/>
          <w:sz w:val="24"/>
          <w:szCs w:val="24"/>
        </w:rPr>
        <w:t>规定</w:t>
      </w:r>
      <w:r>
        <w:rPr>
          <w:rFonts w:asciiTheme="minorEastAsia" w:hAnsiTheme="minorEastAsia" w:hint="eastAsia"/>
          <w:sz w:val="24"/>
          <w:szCs w:val="24"/>
        </w:rPr>
        <w:t>和《九泰鸿祥服务升级灵活配置混合型证券投资基金基金合同》（以下简称</w:t>
      </w:r>
      <w:r>
        <w:rPr>
          <w:rFonts w:asciiTheme="minorEastAsia" w:hAnsiTheme="minorEastAsia"/>
          <w:sz w:val="24"/>
          <w:szCs w:val="24"/>
        </w:rPr>
        <w:t>“</w:t>
      </w:r>
      <w:r>
        <w:rPr>
          <w:rFonts w:asciiTheme="minorEastAsia" w:hAnsiTheme="minorEastAsia" w:hint="eastAsia"/>
          <w:sz w:val="24"/>
          <w:szCs w:val="24"/>
        </w:rPr>
        <w:t>基金合同</w:t>
      </w:r>
      <w:r>
        <w:rPr>
          <w:rFonts w:asciiTheme="minorEastAsia" w:hAnsiTheme="minorEastAsia"/>
          <w:sz w:val="24"/>
          <w:szCs w:val="24"/>
        </w:rPr>
        <w:t>”</w:t>
      </w:r>
      <w:r>
        <w:rPr>
          <w:rFonts w:asciiTheme="minorEastAsia" w:hAnsiTheme="minorEastAsia"/>
          <w:sz w:val="24"/>
          <w:szCs w:val="24"/>
        </w:rPr>
        <w:t>）</w:t>
      </w:r>
      <w:r>
        <w:rPr>
          <w:rFonts w:asciiTheme="minorEastAsia" w:hAnsiTheme="minorEastAsia" w:hint="eastAsia"/>
          <w:sz w:val="24"/>
          <w:szCs w:val="24"/>
        </w:rPr>
        <w:t>的约定，九泰鸿祥服务升级灵活配置混合型证券投资基金（以下简称“本基金”）出现基金合同约定的终止事由，九泰基金管理有限公司（以下简称“本基金管理人”或</w:t>
      </w:r>
      <w:r>
        <w:rPr>
          <w:rFonts w:asciiTheme="minorEastAsia" w:hAnsiTheme="minorEastAsia"/>
          <w:sz w:val="24"/>
          <w:szCs w:val="24"/>
        </w:rPr>
        <w:t>“</w:t>
      </w:r>
      <w:r>
        <w:rPr>
          <w:rFonts w:asciiTheme="minorEastAsia" w:hAnsiTheme="minorEastAsia" w:hint="eastAsia"/>
          <w:sz w:val="24"/>
          <w:szCs w:val="24"/>
        </w:rPr>
        <w:t>本公司</w:t>
      </w:r>
      <w:r>
        <w:rPr>
          <w:rFonts w:asciiTheme="minorEastAsia" w:hAnsiTheme="minorEastAsia"/>
          <w:sz w:val="24"/>
          <w:szCs w:val="24"/>
        </w:rPr>
        <w:t>”</w:t>
      </w:r>
      <w:r>
        <w:rPr>
          <w:rFonts w:asciiTheme="minorEastAsia" w:hAnsiTheme="minorEastAsia" w:hint="eastAsia"/>
          <w:sz w:val="24"/>
          <w:szCs w:val="24"/>
        </w:rPr>
        <w:t>）应当在上述事由出现后依法履行基金财产清算程序并终止基金合同，此事项无需召开基金份额持有人大会。现</w:t>
      </w:r>
      <w:r>
        <w:rPr>
          <w:rFonts w:asciiTheme="minorEastAsia" w:hAnsiTheme="minorEastAsia"/>
          <w:sz w:val="24"/>
          <w:szCs w:val="24"/>
        </w:rPr>
        <w:t>将相关事宜公告如下：</w:t>
      </w:r>
    </w:p>
    <w:p w:rsidR="006C198A" w:rsidRDefault="0010401F">
      <w:pPr>
        <w:spacing w:line="420" w:lineRule="exact"/>
        <w:ind w:firstLine="420"/>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一、本基金</w:t>
      </w:r>
      <w:r>
        <w:rPr>
          <w:rFonts w:asciiTheme="minorEastAsia" w:hAnsiTheme="minorEastAsia" w:cs="宋体"/>
          <w:b/>
          <w:color w:val="000000"/>
          <w:kern w:val="0"/>
          <w:sz w:val="24"/>
          <w:szCs w:val="24"/>
        </w:rPr>
        <w:t>基本信息</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基金名称：九泰鸿祥服务升级灵活配置混合型证券投资基金</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基金简称：九泰鸿祥服务升级混合</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基金代码：</w:t>
      </w:r>
      <w:r>
        <w:rPr>
          <w:rFonts w:asciiTheme="minorEastAsia" w:hAnsiTheme="minorEastAsia" w:cs="Times New Roman" w:hint="eastAsia"/>
          <w:color w:val="000000"/>
          <w:kern w:val="0"/>
          <w:sz w:val="24"/>
          <w:szCs w:val="24"/>
        </w:rPr>
        <w:t>0</w:t>
      </w:r>
      <w:r>
        <w:rPr>
          <w:rFonts w:asciiTheme="minorEastAsia" w:hAnsiTheme="minorEastAsia" w:cs="Times New Roman"/>
          <w:color w:val="000000"/>
          <w:kern w:val="0"/>
          <w:sz w:val="24"/>
          <w:szCs w:val="24"/>
        </w:rPr>
        <w:t>0</w:t>
      </w:r>
      <w:r>
        <w:rPr>
          <w:rFonts w:asciiTheme="minorEastAsia" w:hAnsiTheme="minorEastAsia" w:cs="Times New Roman" w:hint="eastAsia"/>
          <w:color w:val="000000"/>
          <w:kern w:val="0"/>
          <w:sz w:val="24"/>
          <w:szCs w:val="24"/>
        </w:rPr>
        <w:t>2384</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基金运作方式：契约型开放式</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基金合同生效日：</w:t>
      </w:r>
      <w:r>
        <w:rPr>
          <w:rFonts w:asciiTheme="minorEastAsia" w:hAnsiTheme="minorEastAsia" w:cs="Times New Roman"/>
          <w:color w:val="000000"/>
          <w:kern w:val="0"/>
          <w:sz w:val="24"/>
          <w:szCs w:val="24"/>
        </w:rPr>
        <w:t>2017</w:t>
      </w:r>
      <w:r>
        <w:rPr>
          <w:rFonts w:asciiTheme="minorEastAsia" w:hAnsiTheme="minorEastAsia" w:cs="Times New Roman" w:hint="eastAsia"/>
          <w:color w:val="000000"/>
          <w:kern w:val="0"/>
          <w:sz w:val="24"/>
          <w:szCs w:val="24"/>
        </w:rPr>
        <w:t>年</w:t>
      </w:r>
      <w:r>
        <w:rPr>
          <w:rFonts w:asciiTheme="minorEastAsia" w:hAnsiTheme="minorEastAsia" w:cs="Times New Roman" w:hint="eastAsia"/>
          <w:color w:val="000000"/>
          <w:kern w:val="0"/>
          <w:sz w:val="24"/>
          <w:szCs w:val="24"/>
        </w:rPr>
        <w:t>8</w:t>
      </w:r>
      <w:r>
        <w:rPr>
          <w:rFonts w:asciiTheme="minorEastAsia" w:hAnsiTheme="minorEastAsia" w:cs="Times New Roman" w:hint="eastAsia"/>
          <w:color w:val="000000"/>
          <w:kern w:val="0"/>
          <w:sz w:val="24"/>
          <w:szCs w:val="24"/>
        </w:rPr>
        <w:t>月</w:t>
      </w:r>
      <w:r>
        <w:rPr>
          <w:rFonts w:asciiTheme="minorEastAsia" w:hAnsiTheme="minorEastAsia" w:cs="Times New Roman" w:hint="eastAsia"/>
          <w:color w:val="000000"/>
          <w:kern w:val="0"/>
          <w:sz w:val="24"/>
          <w:szCs w:val="24"/>
        </w:rPr>
        <w:t>16</w:t>
      </w:r>
      <w:r>
        <w:rPr>
          <w:rFonts w:asciiTheme="minorEastAsia" w:hAnsiTheme="minorEastAsia" w:cs="Times New Roman" w:hint="eastAsia"/>
          <w:color w:val="000000"/>
          <w:kern w:val="0"/>
          <w:sz w:val="24"/>
          <w:szCs w:val="24"/>
        </w:rPr>
        <w:t>日</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基金管理人名称：九泰基金管理有限公司</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基金托管人名称：中国工商银行股份有限公司</w:t>
      </w:r>
    </w:p>
    <w:p w:rsidR="006C198A" w:rsidRDefault="0010401F">
      <w:pPr>
        <w:spacing w:line="420" w:lineRule="exact"/>
        <w:ind w:firstLine="420"/>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二、基金合同</w:t>
      </w:r>
      <w:r>
        <w:rPr>
          <w:rFonts w:asciiTheme="minorEastAsia" w:hAnsiTheme="minorEastAsia" w:cs="宋体"/>
          <w:b/>
          <w:color w:val="000000"/>
          <w:kern w:val="0"/>
          <w:sz w:val="24"/>
          <w:szCs w:val="24"/>
        </w:rPr>
        <w:t>终止事由</w:t>
      </w:r>
    </w:p>
    <w:p w:rsidR="006C198A" w:rsidRDefault="0010401F">
      <w:pPr>
        <w:spacing w:line="360" w:lineRule="auto"/>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根据基金合同“第五部分</w:t>
      </w: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基金备案”及“第十九部分</w:t>
      </w: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基金合同的变更、终止与基金财产的清算”中的约定，本基金基金合同生效后，连续</w:t>
      </w:r>
      <w:r>
        <w:rPr>
          <w:rFonts w:asciiTheme="minorEastAsia" w:hAnsiTheme="minorEastAsia" w:cs="Times New Roman" w:hint="eastAsia"/>
          <w:color w:val="000000"/>
          <w:kern w:val="0"/>
          <w:sz w:val="24"/>
          <w:szCs w:val="24"/>
        </w:rPr>
        <w:t>60</w:t>
      </w:r>
      <w:r>
        <w:rPr>
          <w:rFonts w:asciiTheme="minorEastAsia" w:hAnsiTheme="minorEastAsia" w:cs="Times New Roman" w:hint="eastAsia"/>
          <w:color w:val="000000"/>
          <w:kern w:val="0"/>
          <w:sz w:val="24"/>
          <w:szCs w:val="24"/>
        </w:rPr>
        <w:t>个工作日出现基金份额持有人数量不满</w:t>
      </w:r>
      <w:r>
        <w:rPr>
          <w:rFonts w:asciiTheme="minorEastAsia" w:hAnsiTheme="minorEastAsia" w:cs="Times New Roman" w:hint="eastAsia"/>
          <w:color w:val="000000"/>
          <w:kern w:val="0"/>
          <w:sz w:val="24"/>
          <w:szCs w:val="24"/>
        </w:rPr>
        <w:t>200</w:t>
      </w:r>
      <w:r>
        <w:rPr>
          <w:rFonts w:asciiTheme="minorEastAsia" w:hAnsiTheme="minorEastAsia" w:cs="Times New Roman" w:hint="eastAsia"/>
          <w:color w:val="000000"/>
          <w:kern w:val="0"/>
          <w:sz w:val="24"/>
          <w:szCs w:val="24"/>
        </w:rPr>
        <w:t>人或者基金资产净值低于</w:t>
      </w:r>
      <w:r>
        <w:rPr>
          <w:rFonts w:asciiTheme="minorEastAsia" w:hAnsiTheme="minorEastAsia" w:cs="Times New Roman" w:hint="eastAsia"/>
          <w:color w:val="000000"/>
          <w:kern w:val="0"/>
          <w:sz w:val="24"/>
          <w:szCs w:val="24"/>
        </w:rPr>
        <w:t>5000</w:t>
      </w:r>
      <w:r>
        <w:rPr>
          <w:rFonts w:asciiTheme="minorEastAsia" w:hAnsiTheme="minorEastAsia" w:cs="Times New Roman" w:hint="eastAsia"/>
          <w:color w:val="000000"/>
          <w:kern w:val="0"/>
          <w:sz w:val="24"/>
          <w:szCs w:val="24"/>
        </w:rPr>
        <w:t>万元情形的，本基金合同终止，无须召开基金份额持有人大会。</w:t>
      </w:r>
    </w:p>
    <w:p w:rsidR="006C198A" w:rsidRDefault="0010401F">
      <w:pPr>
        <w:spacing w:line="360" w:lineRule="auto"/>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截至</w:t>
      </w:r>
      <w:r>
        <w:rPr>
          <w:rFonts w:asciiTheme="minorEastAsia" w:hAnsiTheme="minorEastAsia" w:cs="Times New Roman" w:hint="eastAsia"/>
          <w:color w:val="000000"/>
          <w:kern w:val="0"/>
          <w:sz w:val="24"/>
          <w:szCs w:val="24"/>
        </w:rPr>
        <w:t>202</w:t>
      </w:r>
      <w:r>
        <w:rPr>
          <w:rFonts w:asciiTheme="minorEastAsia" w:hAnsiTheme="minorEastAsia" w:cs="Times New Roman"/>
          <w:color w:val="000000"/>
          <w:kern w:val="0"/>
          <w:sz w:val="24"/>
          <w:szCs w:val="24"/>
        </w:rPr>
        <w:t>2</w:t>
      </w:r>
      <w:r>
        <w:rPr>
          <w:rFonts w:asciiTheme="minorEastAsia" w:hAnsiTheme="minorEastAsia" w:cs="Times New Roman" w:hint="eastAsia"/>
          <w:color w:val="000000"/>
          <w:kern w:val="0"/>
          <w:sz w:val="24"/>
          <w:szCs w:val="24"/>
        </w:rPr>
        <w:t>年</w:t>
      </w:r>
      <w:r>
        <w:rPr>
          <w:rFonts w:asciiTheme="minorEastAsia" w:hAnsiTheme="minorEastAsia" w:cs="Times New Roman" w:hint="eastAsia"/>
          <w:color w:val="000000"/>
          <w:kern w:val="0"/>
          <w:sz w:val="24"/>
          <w:szCs w:val="24"/>
        </w:rPr>
        <w:t>5</w:t>
      </w:r>
      <w:r>
        <w:rPr>
          <w:rFonts w:asciiTheme="minorEastAsia" w:hAnsiTheme="minorEastAsia" w:cs="Times New Roman" w:hint="eastAsia"/>
          <w:color w:val="000000"/>
          <w:kern w:val="0"/>
          <w:sz w:val="24"/>
          <w:szCs w:val="24"/>
        </w:rPr>
        <w:t>月</w:t>
      </w:r>
      <w:r>
        <w:rPr>
          <w:rFonts w:asciiTheme="minorEastAsia" w:hAnsiTheme="minorEastAsia" w:cs="Times New Roman" w:hint="eastAsia"/>
          <w:color w:val="000000"/>
          <w:kern w:val="0"/>
          <w:sz w:val="24"/>
          <w:szCs w:val="24"/>
        </w:rPr>
        <w:t>23</w:t>
      </w:r>
      <w:r>
        <w:rPr>
          <w:rFonts w:asciiTheme="minorEastAsia" w:hAnsiTheme="minorEastAsia" w:cs="Times New Roman" w:hint="eastAsia"/>
          <w:color w:val="000000"/>
          <w:kern w:val="0"/>
          <w:sz w:val="24"/>
          <w:szCs w:val="24"/>
        </w:rPr>
        <w:t>日，本基金基金资产净值连续</w:t>
      </w:r>
      <w:r>
        <w:rPr>
          <w:rFonts w:asciiTheme="minorEastAsia" w:hAnsiTheme="minorEastAsia" w:cs="Times New Roman" w:hint="eastAsia"/>
          <w:color w:val="000000"/>
          <w:kern w:val="0"/>
          <w:sz w:val="24"/>
          <w:szCs w:val="24"/>
        </w:rPr>
        <w:t>60</w:t>
      </w:r>
      <w:r>
        <w:rPr>
          <w:rFonts w:asciiTheme="minorEastAsia" w:hAnsiTheme="minorEastAsia" w:cs="Times New Roman" w:hint="eastAsia"/>
          <w:color w:val="000000"/>
          <w:kern w:val="0"/>
          <w:sz w:val="24"/>
          <w:szCs w:val="24"/>
        </w:rPr>
        <w:t>个工作日低于</w:t>
      </w:r>
      <w:r>
        <w:rPr>
          <w:rFonts w:asciiTheme="minorEastAsia" w:hAnsiTheme="minorEastAsia" w:cs="Times New Roman" w:hint="eastAsia"/>
          <w:color w:val="000000"/>
          <w:kern w:val="0"/>
          <w:sz w:val="24"/>
          <w:szCs w:val="24"/>
        </w:rPr>
        <w:t>5000</w:t>
      </w:r>
      <w:r>
        <w:rPr>
          <w:rFonts w:asciiTheme="minorEastAsia" w:hAnsiTheme="minorEastAsia" w:cs="Times New Roman" w:hint="eastAsia"/>
          <w:color w:val="000000"/>
          <w:kern w:val="0"/>
          <w:sz w:val="24"/>
          <w:szCs w:val="24"/>
        </w:rPr>
        <w:t>万元，已出现上述触发基金合同终止的情形。根据基金合同有关约定，本基金管理人将按照基金合同的约定对本基金进行清算并终止基金合同，且无须召开基金份额持有人大会。</w:t>
      </w:r>
    </w:p>
    <w:p w:rsidR="006C198A" w:rsidRDefault="0010401F">
      <w:pPr>
        <w:spacing w:line="420" w:lineRule="exact"/>
        <w:ind w:firstLine="420"/>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三、</w:t>
      </w:r>
      <w:r>
        <w:rPr>
          <w:rFonts w:asciiTheme="minorEastAsia" w:hAnsiTheme="minorEastAsia" w:cs="宋体"/>
          <w:b/>
          <w:color w:val="000000"/>
          <w:kern w:val="0"/>
          <w:sz w:val="24"/>
          <w:szCs w:val="24"/>
        </w:rPr>
        <w:t>基金财产</w:t>
      </w:r>
      <w:r>
        <w:rPr>
          <w:rFonts w:asciiTheme="minorEastAsia" w:hAnsiTheme="minorEastAsia" w:cs="宋体" w:hint="eastAsia"/>
          <w:b/>
          <w:color w:val="000000"/>
          <w:kern w:val="0"/>
          <w:sz w:val="24"/>
          <w:szCs w:val="24"/>
        </w:rPr>
        <w:t>清算安排</w:t>
      </w:r>
    </w:p>
    <w:p w:rsidR="006C198A" w:rsidRDefault="0010401F">
      <w:pPr>
        <w:spacing w:line="360" w:lineRule="auto"/>
        <w:ind w:firstLine="42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1</w:t>
      </w:r>
      <w:r>
        <w:rPr>
          <w:rFonts w:asciiTheme="minorEastAsia" w:hAnsiTheme="minorEastAsia" w:cs="Times New Roman"/>
          <w:color w:val="000000"/>
          <w:kern w:val="0"/>
          <w:sz w:val="24"/>
          <w:szCs w:val="24"/>
        </w:rPr>
        <w:t>、</w:t>
      </w:r>
      <w:r>
        <w:rPr>
          <w:rFonts w:asciiTheme="minorEastAsia" w:hAnsiTheme="minorEastAsia" w:cs="Times New Roman" w:hint="eastAsia"/>
          <w:color w:val="000000"/>
          <w:kern w:val="0"/>
          <w:sz w:val="24"/>
          <w:szCs w:val="24"/>
        </w:rPr>
        <w:t>本基金于</w:t>
      </w:r>
      <w:r>
        <w:rPr>
          <w:rFonts w:asciiTheme="minorEastAsia" w:hAnsiTheme="minorEastAsia" w:cs="Times New Roman" w:hint="eastAsia"/>
          <w:color w:val="000000"/>
          <w:kern w:val="0"/>
          <w:sz w:val="24"/>
          <w:szCs w:val="24"/>
        </w:rPr>
        <w:t>2</w:t>
      </w:r>
      <w:r>
        <w:rPr>
          <w:rFonts w:asciiTheme="minorEastAsia" w:hAnsiTheme="minorEastAsia" w:cs="Times New Roman"/>
          <w:color w:val="000000"/>
          <w:kern w:val="0"/>
          <w:sz w:val="24"/>
          <w:szCs w:val="24"/>
        </w:rPr>
        <w:t>022</w:t>
      </w:r>
      <w:r>
        <w:rPr>
          <w:rFonts w:asciiTheme="minorEastAsia" w:hAnsiTheme="minorEastAsia" w:cs="Times New Roman" w:hint="eastAsia"/>
          <w:color w:val="000000"/>
          <w:kern w:val="0"/>
          <w:sz w:val="24"/>
          <w:szCs w:val="24"/>
        </w:rPr>
        <w:t>年</w:t>
      </w:r>
      <w:r>
        <w:rPr>
          <w:rFonts w:asciiTheme="minorEastAsia" w:hAnsiTheme="minorEastAsia" w:cs="Times New Roman" w:hint="eastAsia"/>
          <w:color w:val="000000"/>
          <w:kern w:val="0"/>
          <w:sz w:val="24"/>
          <w:szCs w:val="24"/>
        </w:rPr>
        <w:t>5</w:t>
      </w:r>
      <w:r>
        <w:rPr>
          <w:rFonts w:asciiTheme="minorEastAsia" w:hAnsiTheme="minorEastAsia" w:cs="Times New Roman" w:hint="eastAsia"/>
          <w:color w:val="000000"/>
          <w:kern w:val="0"/>
          <w:sz w:val="24"/>
          <w:szCs w:val="24"/>
        </w:rPr>
        <w:t>月</w:t>
      </w:r>
      <w:r>
        <w:rPr>
          <w:rFonts w:asciiTheme="minorEastAsia" w:hAnsiTheme="minorEastAsia" w:cs="Times New Roman" w:hint="eastAsia"/>
          <w:color w:val="000000"/>
          <w:kern w:val="0"/>
          <w:sz w:val="24"/>
          <w:szCs w:val="24"/>
        </w:rPr>
        <w:t>23</w:t>
      </w:r>
      <w:r>
        <w:rPr>
          <w:rFonts w:asciiTheme="minorEastAsia" w:hAnsiTheme="minorEastAsia" w:cs="Times New Roman" w:hint="eastAsia"/>
          <w:color w:val="000000"/>
          <w:kern w:val="0"/>
          <w:sz w:val="24"/>
          <w:szCs w:val="24"/>
        </w:rPr>
        <w:t>日出现基金合同终止事由，</w:t>
      </w:r>
      <w:r>
        <w:rPr>
          <w:rFonts w:asciiTheme="minorEastAsia" w:hAnsiTheme="minorEastAsia" w:cs="Times New Roman" w:hint="eastAsia"/>
          <w:color w:val="000000"/>
          <w:kern w:val="0"/>
          <w:sz w:val="24"/>
          <w:szCs w:val="24"/>
        </w:rPr>
        <w:t>为更好地满足基金份额持有人的赎回需求，本基金自</w:t>
      </w:r>
      <w:r>
        <w:rPr>
          <w:rFonts w:asciiTheme="minorEastAsia" w:hAnsiTheme="minorEastAsia" w:cs="Times New Roman"/>
          <w:color w:val="000000"/>
          <w:kern w:val="0"/>
          <w:sz w:val="24"/>
          <w:szCs w:val="24"/>
        </w:rPr>
        <w:t>2022</w:t>
      </w:r>
      <w:r>
        <w:rPr>
          <w:rFonts w:asciiTheme="minorEastAsia" w:hAnsiTheme="minorEastAsia" w:cs="Times New Roman"/>
          <w:color w:val="000000"/>
          <w:kern w:val="0"/>
          <w:sz w:val="24"/>
          <w:szCs w:val="24"/>
        </w:rPr>
        <w:t>年</w:t>
      </w:r>
      <w:r>
        <w:rPr>
          <w:rFonts w:asciiTheme="minorEastAsia" w:hAnsiTheme="minorEastAsia" w:cs="Times New Roman" w:hint="eastAsia"/>
          <w:color w:val="000000"/>
          <w:kern w:val="0"/>
          <w:sz w:val="24"/>
          <w:szCs w:val="24"/>
        </w:rPr>
        <w:t>5</w:t>
      </w:r>
      <w:r>
        <w:rPr>
          <w:rFonts w:asciiTheme="minorEastAsia" w:hAnsiTheme="minorEastAsia" w:cs="Times New Roman"/>
          <w:color w:val="000000"/>
          <w:kern w:val="0"/>
          <w:sz w:val="24"/>
          <w:szCs w:val="24"/>
        </w:rPr>
        <w:t>月</w:t>
      </w:r>
      <w:r>
        <w:rPr>
          <w:rFonts w:asciiTheme="minorEastAsia" w:hAnsiTheme="minorEastAsia" w:cs="Times New Roman" w:hint="eastAsia"/>
          <w:color w:val="000000"/>
          <w:kern w:val="0"/>
          <w:sz w:val="24"/>
          <w:szCs w:val="24"/>
        </w:rPr>
        <w:t>24</w:t>
      </w:r>
      <w:r>
        <w:rPr>
          <w:rFonts w:asciiTheme="minorEastAsia" w:hAnsiTheme="minorEastAsia" w:cs="Times New Roman" w:hint="eastAsia"/>
          <w:color w:val="000000"/>
          <w:kern w:val="0"/>
          <w:sz w:val="24"/>
          <w:szCs w:val="24"/>
        </w:rPr>
        <w:t>日至</w:t>
      </w:r>
      <w:r>
        <w:rPr>
          <w:rFonts w:asciiTheme="minorEastAsia" w:hAnsiTheme="minorEastAsia" w:cs="Times New Roman"/>
          <w:color w:val="000000"/>
          <w:kern w:val="0"/>
          <w:sz w:val="24"/>
          <w:szCs w:val="24"/>
        </w:rPr>
        <w:t>2022</w:t>
      </w:r>
      <w:r>
        <w:rPr>
          <w:rFonts w:asciiTheme="minorEastAsia" w:hAnsiTheme="minorEastAsia" w:cs="Times New Roman"/>
          <w:color w:val="000000"/>
          <w:kern w:val="0"/>
          <w:sz w:val="24"/>
          <w:szCs w:val="24"/>
        </w:rPr>
        <w:t>年</w:t>
      </w:r>
      <w:r>
        <w:rPr>
          <w:rFonts w:asciiTheme="minorEastAsia" w:hAnsiTheme="minorEastAsia" w:cs="Times New Roman" w:hint="eastAsia"/>
          <w:color w:val="000000"/>
          <w:kern w:val="0"/>
          <w:sz w:val="24"/>
          <w:szCs w:val="24"/>
        </w:rPr>
        <w:t>5</w:t>
      </w:r>
      <w:r>
        <w:rPr>
          <w:rFonts w:asciiTheme="minorEastAsia" w:hAnsiTheme="minorEastAsia" w:cs="Times New Roman"/>
          <w:color w:val="000000"/>
          <w:kern w:val="0"/>
          <w:sz w:val="24"/>
          <w:szCs w:val="24"/>
        </w:rPr>
        <w:t>月</w:t>
      </w:r>
      <w:r>
        <w:rPr>
          <w:rFonts w:asciiTheme="minorEastAsia" w:hAnsiTheme="minorEastAsia" w:cs="Times New Roman" w:hint="eastAsia"/>
          <w:color w:val="000000"/>
          <w:kern w:val="0"/>
          <w:sz w:val="24"/>
          <w:szCs w:val="24"/>
        </w:rPr>
        <w:t>31</w:t>
      </w:r>
      <w:r>
        <w:rPr>
          <w:rFonts w:asciiTheme="minorEastAsia" w:hAnsiTheme="minorEastAsia" w:cs="Times New Roman"/>
          <w:color w:val="000000"/>
          <w:kern w:val="0"/>
          <w:sz w:val="24"/>
          <w:szCs w:val="24"/>
        </w:rPr>
        <w:t>日正常办</w:t>
      </w:r>
      <w:r>
        <w:rPr>
          <w:rFonts w:asciiTheme="minorEastAsia" w:hAnsiTheme="minorEastAsia" w:cs="Times New Roman"/>
          <w:color w:val="000000"/>
          <w:kern w:val="0"/>
          <w:sz w:val="24"/>
          <w:szCs w:val="24"/>
        </w:rPr>
        <w:lastRenderedPageBreak/>
        <w:t>理赎回业务</w:t>
      </w:r>
      <w:r>
        <w:rPr>
          <w:rFonts w:asciiTheme="minorEastAsia" w:hAnsiTheme="minorEastAsia" w:cs="Times New Roman" w:hint="eastAsia"/>
          <w:color w:val="000000"/>
          <w:kern w:val="0"/>
          <w:sz w:val="24"/>
          <w:szCs w:val="24"/>
        </w:rPr>
        <w:t>和转换转出业务，并不再办理申购、定期定额投资、转换转入等业务</w:t>
      </w:r>
      <w:r>
        <w:rPr>
          <w:rFonts w:asciiTheme="minorEastAsia" w:hAnsiTheme="minorEastAsia" w:cs="Times New Roman"/>
          <w:color w:val="000000"/>
          <w:kern w:val="0"/>
          <w:sz w:val="24"/>
          <w:szCs w:val="24"/>
        </w:rPr>
        <w:t>。</w:t>
      </w:r>
      <w:r>
        <w:rPr>
          <w:rFonts w:asciiTheme="minorEastAsia" w:hAnsiTheme="minorEastAsia" w:cs="Times New Roman" w:hint="eastAsia"/>
          <w:color w:val="000000"/>
          <w:kern w:val="0"/>
          <w:sz w:val="24"/>
          <w:szCs w:val="24"/>
        </w:rPr>
        <w:t>在此期间，基金份额持有人可以选择赎回其所持有的本基金基金份额或将其所持有的本基金基金份额转换为本基金管理人管理的且已开通基金转换业务的其他基金的基金份额。本基金的基金份额持有人选择赎回本基金基金份额的，仍将按照本基金招募说明书中列示的赎回费率支付赎回费。</w:t>
      </w:r>
    </w:p>
    <w:p w:rsidR="006C198A" w:rsidRDefault="0010401F">
      <w:pPr>
        <w:spacing w:line="420" w:lineRule="exact"/>
        <w:ind w:firstLine="4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本基金</w:t>
      </w:r>
      <w:r>
        <w:rPr>
          <w:rFonts w:asciiTheme="minorEastAsia" w:hAnsiTheme="minorEastAsia"/>
          <w:bCs/>
          <w:color w:val="000000" w:themeColor="text1"/>
          <w:sz w:val="24"/>
          <w:szCs w:val="24"/>
        </w:rPr>
        <w:t>的赎回费率具体如下表：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3"/>
        <w:gridCol w:w="2835"/>
        <w:gridCol w:w="2665"/>
      </w:tblGrid>
      <w:tr w:rsidR="006C198A">
        <w:trPr>
          <w:trHeight w:val="468"/>
        </w:trPr>
        <w:tc>
          <w:tcPr>
            <w:tcW w:w="2013" w:type="dxa"/>
            <w:vAlign w:val="center"/>
          </w:tcPr>
          <w:p w:rsidR="006C198A" w:rsidRDefault="0010401F">
            <w:pPr>
              <w:spacing w:line="420" w:lineRule="exact"/>
              <w:ind w:firstLine="4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费用项</w:t>
            </w:r>
          </w:p>
        </w:tc>
        <w:tc>
          <w:tcPr>
            <w:tcW w:w="283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持有期限（</w:t>
            </w:r>
            <w:r>
              <w:rPr>
                <w:rFonts w:asciiTheme="minorEastAsia" w:hAnsiTheme="minorEastAsia" w:hint="eastAsia"/>
                <w:bCs/>
                <w:color w:val="000000" w:themeColor="text1"/>
                <w:sz w:val="24"/>
                <w:szCs w:val="24"/>
              </w:rPr>
              <w:t>Y</w:t>
            </w:r>
            <w:r>
              <w:rPr>
                <w:rFonts w:asciiTheme="minorEastAsia" w:hAnsiTheme="minorEastAsia" w:hint="eastAsia"/>
                <w:bCs/>
                <w:color w:val="000000" w:themeColor="text1"/>
                <w:sz w:val="24"/>
                <w:szCs w:val="24"/>
              </w:rPr>
              <w:t>）</w:t>
            </w:r>
          </w:p>
        </w:tc>
        <w:tc>
          <w:tcPr>
            <w:tcW w:w="266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收费标准</w:t>
            </w:r>
          </w:p>
        </w:tc>
      </w:tr>
      <w:tr w:rsidR="006C198A">
        <w:trPr>
          <w:trHeight w:val="468"/>
        </w:trPr>
        <w:tc>
          <w:tcPr>
            <w:tcW w:w="2013" w:type="dxa"/>
            <w:vMerge w:val="restart"/>
            <w:vAlign w:val="center"/>
          </w:tcPr>
          <w:p w:rsidR="006C198A" w:rsidRDefault="0010401F">
            <w:pPr>
              <w:spacing w:line="420" w:lineRule="exact"/>
              <w:ind w:firstLine="4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赎回费</w:t>
            </w:r>
          </w:p>
        </w:tc>
        <w:tc>
          <w:tcPr>
            <w:tcW w:w="283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Y</w:t>
            </w:r>
            <w:r>
              <w:rPr>
                <w:rFonts w:asciiTheme="minorEastAsia" w:hAnsiTheme="minorEastAsia" w:hint="eastAsia"/>
                <w:bCs/>
                <w:color w:val="000000" w:themeColor="text1"/>
                <w:sz w:val="24"/>
                <w:szCs w:val="24"/>
              </w:rPr>
              <w:t>＜</w:t>
            </w:r>
            <w:r>
              <w:rPr>
                <w:rFonts w:asciiTheme="minorEastAsia" w:hAnsiTheme="minorEastAsia"/>
                <w:bCs/>
                <w:color w:val="000000" w:themeColor="text1"/>
                <w:sz w:val="24"/>
                <w:szCs w:val="24"/>
              </w:rPr>
              <w:t>7</w:t>
            </w:r>
            <w:r>
              <w:rPr>
                <w:rFonts w:asciiTheme="minorEastAsia" w:hAnsiTheme="minorEastAsia" w:hint="eastAsia"/>
                <w:bCs/>
                <w:color w:val="000000" w:themeColor="text1"/>
                <w:sz w:val="24"/>
                <w:szCs w:val="24"/>
              </w:rPr>
              <w:t>日</w:t>
            </w:r>
          </w:p>
        </w:tc>
        <w:tc>
          <w:tcPr>
            <w:tcW w:w="266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bCs/>
                <w:color w:val="000000" w:themeColor="text1"/>
                <w:sz w:val="24"/>
                <w:szCs w:val="24"/>
              </w:rPr>
              <w:t>1.</w:t>
            </w:r>
            <w:r>
              <w:rPr>
                <w:rFonts w:asciiTheme="minorEastAsia" w:hAnsiTheme="minorEastAsia" w:hint="eastAsia"/>
                <w:bCs/>
                <w:color w:val="000000" w:themeColor="text1"/>
                <w:sz w:val="24"/>
                <w:szCs w:val="24"/>
              </w:rPr>
              <w:t>5</w:t>
            </w:r>
            <w:r>
              <w:rPr>
                <w:rFonts w:asciiTheme="minorEastAsia" w:hAnsiTheme="minorEastAsia"/>
                <w:bCs/>
                <w:color w:val="000000" w:themeColor="text1"/>
                <w:sz w:val="24"/>
                <w:szCs w:val="24"/>
              </w:rPr>
              <w:t>0</w:t>
            </w:r>
            <w:r>
              <w:rPr>
                <w:rFonts w:asciiTheme="minorEastAsia" w:hAnsiTheme="minorEastAsia" w:hint="eastAsia"/>
                <w:bCs/>
                <w:color w:val="000000" w:themeColor="text1"/>
                <w:sz w:val="24"/>
                <w:szCs w:val="24"/>
              </w:rPr>
              <w:t>%</w:t>
            </w:r>
          </w:p>
        </w:tc>
      </w:tr>
      <w:tr w:rsidR="006C198A">
        <w:trPr>
          <w:trHeight w:val="468"/>
        </w:trPr>
        <w:tc>
          <w:tcPr>
            <w:tcW w:w="2013" w:type="dxa"/>
            <w:vMerge/>
            <w:vAlign w:val="center"/>
          </w:tcPr>
          <w:p w:rsidR="006C198A" w:rsidRDefault="006C198A">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bCs/>
                <w:color w:val="000000" w:themeColor="text1"/>
                <w:sz w:val="24"/>
                <w:szCs w:val="24"/>
              </w:rPr>
              <w:t>7</w:t>
            </w:r>
            <w:r>
              <w:rPr>
                <w:rFonts w:asciiTheme="minorEastAsia" w:hAnsiTheme="minorEastAsia" w:hint="eastAsia"/>
                <w:bCs/>
                <w:color w:val="000000" w:themeColor="text1"/>
                <w:sz w:val="24"/>
                <w:szCs w:val="24"/>
              </w:rPr>
              <w:t>日≤</w:t>
            </w:r>
            <w:r>
              <w:rPr>
                <w:rFonts w:asciiTheme="minorEastAsia" w:hAnsiTheme="minorEastAsia" w:hint="eastAsia"/>
                <w:bCs/>
                <w:color w:val="000000" w:themeColor="text1"/>
                <w:sz w:val="24"/>
                <w:szCs w:val="24"/>
              </w:rPr>
              <w:t>Y</w:t>
            </w:r>
            <w:r>
              <w:rPr>
                <w:rFonts w:asciiTheme="minorEastAsia" w:hAnsiTheme="minorEastAsia" w:hint="eastAsia"/>
                <w:bCs/>
                <w:color w:val="000000" w:themeColor="text1"/>
                <w:sz w:val="24"/>
                <w:szCs w:val="24"/>
              </w:rPr>
              <w:t>＜</w:t>
            </w:r>
            <w:r>
              <w:rPr>
                <w:rFonts w:asciiTheme="minorEastAsia" w:hAnsiTheme="minorEastAsia"/>
                <w:bCs/>
                <w:color w:val="000000" w:themeColor="text1"/>
                <w:sz w:val="24"/>
                <w:szCs w:val="24"/>
              </w:rPr>
              <w:t>30</w:t>
            </w:r>
            <w:r>
              <w:rPr>
                <w:rFonts w:asciiTheme="minorEastAsia" w:hAnsiTheme="minorEastAsia" w:hint="eastAsia"/>
                <w:bCs/>
                <w:color w:val="000000" w:themeColor="text1"/>
                <w:sz w:val="24"/>
                <w:szCs w:val="24"/>
              </w:rPr>
              <w:t>日</w:t>
            </w:r>
          </w:p>
        </w:tc>
        <w:tc>
          <w:tcPr>
            <w:tcW w:w="266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0.75</w:t>
            </w:r>
            <w:r>
              <w:rPr>
                <w:rFonts w:asciiTheme="minorEastAsia" w:hAnsiTheme="minorEastAsia"/>
                <w:bCs/>
                <w:color w:val="000000" w:themeColor="text1"/>
                <w:sz w:val="24"/>
                <w:szCs w:val="24"/>
              </w:rPr>
              <w:t>%</w:t>
            </w:r>
          </w:p>
        </w:tc>
      </w:tr>
      <w:tr w:rsidR="006C198A">
        <w:trPr>
          <w:trHeight w:val="70"/>
        </w:trPr>
        <w:tc>
          <w:tcPr>
            <w:tcW w:w="2013" w:type="dxa"/>
            <w:vMerge/>
            <w:vAlign w:val="center"/>
          </w:tcPr>
          <w:p w:rsidR="006C198A" w:rsidRDefault="006C198A">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bCs/>
                <w:color w:val="000000" w:themeColor="text1"/>
                <w:sz w:val="24"/>
                <w:szCs w:val="24"/>
              </w:rPr>
              <w:t>30</w:t>
            </w:r>
            <w:r>
              <w:rPr>
                <w:rFonts w:asciiTheme="minorEastAsia" w:hAnsiTheme="minorEastAsia" w:hint="eastAsia"/>
                <w:bCs/>
                <w:color w:val="000000" w:themeColor="text1"/>
                <w:sz w:val="24"/>
                <w:szCs w:val="24"/>
              </w:rPr>
              <w:t>日≤</w:t>
            </w:r>
            <w:r>
              <w:rPr>
                <w:rFonts w:asciiTheme="minorEastAsia" w:hAnsiTheme="minorEastAsia" w:hint="eastAsia"/>
                <w:bCs/>
                <w:color w:val="000000" w:themeColor="text1"/>
                <w:sz w:val="24"/>
                <w:szCs w:val="24"/>
              </w:rPr>
              <w:t>Y</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365</w:t>
            </w:r>
            <w:r>
              <w:rPr>
                <w:rFonts w:asciiTheme="minorEastAsia" w:hAnsiTheme="minorEastAsia" w:hint="eastAsia"/>
                <w:bCs/>
                <w:color w:val="000000" w:themeColor="text1"/>
                <w:sz w:val="24"/>
                <w:szCs w:val="24"/>
              </w:rPr>
              <w:t>日</w:t>
            </w:r>
          </w:p>
        </w:tc>
        <w:tc>
          <w:tcPr>
            <w:tcW w:w="266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0.5</w:t>
            </w:r>
            <w:r>
              <w:rPr>
                <w:rFonts w:asciiTheme="minorEastAsia" w:hAnsiTheme="minorEastAsia"/>
                <w:bCs/>
                <w:color w:val="000000" w:themeColor="text1"/>
                <w:sz w:val="24"/>
                <w:szCs w:val="24"/>
              </w:rPr>
              <w:t>0%</w:t>
            </w:r>
          </w:p>
        </w:tc>
      </w:tr>
      <w:tr w:rsidR="006C198A">
        <w:trPr>
          <w:trHeight w:val="70"/>
        </w:trPr>
        <w:tc>
          <w:tcPr>
            <w:tcW w:w="2013" w:type="dxa"/>
            <w:vMerge/>
            <w:vAlign w:val="center"/>
          </w:tcPr>
          <w:p w:rsidR="006C198A" w:rsidRDefault="006C198A">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365</w:t>
            </w:r>
            <w:r>
              <w:rPr>
                <w:rFonts w:asciiTheme="minorEastAsia" w:hAnsiTheme="minorEastAsia" w:hint="eastAsia"/>
                <w:bCs/>
                <w:color w:val="000000" w:themeColor="text1"/>
                <w:sz w:val="24"/>
                <w:szCs w:val="24"/>
              </w:rPr>
              <w:t>日≤</w:t>
            </w:r>
            <w:r>
              <w:rPr>
                <w:rFonts w:asciiTheme="minorEastAsia" w:hAnsiTheme="minorEastAsia" w:hint="eastAsia"/>
                <w:bCs/>
                <w:color w:val="000000" w:themeColor="text1"/>
                <w:sz w:val="24"/>
                <w:szCs w:val="24"/>
              </w:rPr>
              <w:t>Y</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730</w:t>
            </w:r>
            <w:r>
              <w:rPr>
                <w:rFonts w:asciiTheme="minorEastAsia" w:hAnsiTheme="minorEastAsia" w:hint="eastAsia"/>
                <w:bCs/>
                <w:color w:val="000000" w:themeColor="text1"/>
                <w:sz w:val="24"/>
                <w:szCs w:val="24"/>
              </w:rPr>
              <w:t>日</w:t>
            </w:r>
          </w:p>
        </w:tc>
        <w:tc>
          <w:tcPr>
            <w:tcW w:w="266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0.25%</w:t>
            </w:r>
          </w:p>
        </w:tc>
      </w:tr>
      <w:tr w:rsidR="006C198A">
        <w:trPr>
          <w:trHeight w:val="70"/>
        </w:trPr>
        <w:tc>
          <w:tcPr>
            <w:tcW w:w="2013" w:type="dxa"/>
            <w:vMerge/>
            <w:vAlign w:val="center"/>
          </w:tcPr>
          <w:p w:rsidR="006C198A" w:rsidRDefault="006C198A">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Y</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730</w:t>
            </w:r>
            <w:r>
              <w:rPr>
                <w:rFonts w:asciiTheme="minorEastAsia" w:hAnsiTheme="minorEastAsia" w:hint="eastAsia"/>
                <w:bCs/>
                <w:color w:val="000000" w:themeColor="text1"/>
                <w:sz w:val="24"/>
                <w:szCs w:val="24"/>
              </w:rPr>
              <w:t>日</w:t>
            </w:r>
          </w:p>
        </w:tc>
        <w:tc>
          <w:tcPr>
            <w:tcW w:w="2665" w:type="dxa"/>
            <w:vAlign w:val="center"/>
          </w:tcPr>
          <w:p w:rsidR="006C198A" w:rsidRDefault="0010401F">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0</w:t>
            </w:r>
          </w:p>
        </w:tc>
      </w:tr>
    </w:tbl>
    <w:p w:rsidR="006C198A" w:rsidRDefault="0010401F">
      <w:pPr>
        <w:spacing w:line="420" w:lineRule="exact"/>
        <w:ind w:firstLine="4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赎回费用由赎回基金份额的基金份额持有人承担，在基金份额持有人赎回基金份额时收取。对持续持有期少于</w:t>
      </w:r>
      <w:r>
        <w:rPr>
          <w:rFonts w:asciiTheme="minorEastAsia" w:hAnsiTheme="minorEastAsia" w:hint="eastAsia"/>
          <w:bCs/>
          <w:color w:val="000000" w:themeColor="text1"/>
          <w:sz w:val="24"/>
          <w:szCs w:val="24"/>
        </w:rPr>
        <w:t>7</w:t>
      </w:r>
      <w:r>
        <w:rPr>
          <w:rFonts w:asciiTheme="minorEastAsia" w:hAnsiTheme="minorEastAsia" w:hint="eastAsia"/>
          <w:bCs/>
          <w:color w:val="000000" w:themeColor="text1"/>
          <w:sz w:val="24"/>
          <w:szCs w:val="24"/>
        </w:rPr>
        <w:t>日的投资者收取不低于</w:t>
      </w:r>
      <w:r>
        <w:rPr>
          <w:rFonts w:asciiTheme="minorEastAsia" w:hAnsiTheme="minorEastAsia" w:hint="eastAsia"/>
          <w:bCs/>
          <w:color w:val="000000" w:themeColor="text1"/>
          <w:sz w:val="24"/>
          <w:szCs w:val="24"/>
        </w:rPr>
        <w:t>1.5%</w:t>
      </w:r>
      <w:r>
        <w:rPr>
          <w:rFonts w:asciiTheme="minorEastAsia" w:hAnsiTheme="minorEastAsia" w:hint="eastAsia"/>
          <w:bCs/>
          <w:color w:val="000000" w:themeColor="text1"/>
          <w:sz w:val="24"/>
          <w:szCs w:val="24"/>
        </w:rPr>
        <w:t>的赎回费并全额计入基金财产；对持有期在</w:t>
      </w:r>
      <w:r>
        <w:rPr>
          <w:rFonts w:asciiTheme="minorEastAsia" w:hAnsiTheme="minorEastAsia"/>
          <w:bCs/>
          <w:color w:val="000000" w:themeColor="text1"/>
          <w:sz w:val="24"/>
          <w:szCs w:val="24"/>
        </w:rPr>
        <w:t>7</w:t>
      </w:r>
      <w:r>
        <w:rPr>
          <w:rFonts w:asciiTheme="minorEastAsia" w:hAnsiTheme="minorEastAsia" w:hint="eastAsia"/>
          <w:bCs/>
          <w:color w:val="000000" w:themeColor="text1"/>
          <w:sz w:val="24"/>
          <w:szCs w:val="24"/>
        </w:rPr>
        <w:t>日以上且对持有期少于</w:t>
      </w:r>
      <w:r>
        <w:rPr>
          <w:rFonts w:asciiTheme="minorEastAsia" w:hAnsiTheme="minorEastAsia"/>
          <w:bCs/>
          <w:color w:val="000000" w:themeColor="text1"/>
          <w:sz w:val="24"/>
          <w:szCs w:val="24"/>
        </w:rPr>
        <w:t>30</w:t>
      </w:r>
      <w:r>
        <w:rPr>
          <w:rFonts w:asciiTheme="minorEastAsia" w:hAnsiTheme="minorEastAsia" w:hint="eastAsia"/>
          <w:bCs/>
          <w:color w:val="000000" w:themeColor="text1"/>
          <w:sz w:val="24"/>
          <w:szCs w:val="24"/>
        </w:rPr>
        <w:t>日（不含）的基金份额持有人所收取赎回费用全额计入基金财产；对持有期在</w:t>
      </w:r>
      <w:r>
        <w:rPr>
          <w:rFonts w:asciiTheme="minorEastAsia" w:hAnsiTheme="minorEastAsia"/>
          <w:bCs/>
          <w:color w:val="000000" w:themeColor="text1"/>
          <w:sz w:val="24"/>
          <w:szCs w:val="24"/>
        </w:rPr>
        <w:t>30</w:t>
      </w:r>
      <w:r>
        <w:rPr>
          <w:rFonts w:asciiTheme="minorEastAsia" w:hAnsiTheme="minorEastAsia" w:hint="eastAsia"/>
          <w:bCs/>
          <w:color w:val="000000" w:themeColor="text1"/>
          <w:sz w:val="24"/>
          <w:szCs w:val="24"/>
        </w:rPr>
        <w:t>日以上（含）且少于</w:t>
      </w:r>
      <w:r>
        <w:rPr>
          <w:rFonts w:asciiTheme="minorEastAsia" w:hAnsiTheme="minorEastAsia"/>
          <w:bCs/>
          <w:color w:val="000000" w:themeColor="text1"/>
          <w:sz w:val="24"/>
          <w:szCs w:val="24"/>
        </w:rPr>
        <w:t>90</w:t>
      </w:r>
      <w:r>
        <w:rPr>
          <w:rFonts w:asciiTheme="minorEastAsia" w:hAnsiTheme="minorEastAsia" w:hint="eastAsia"/>
          <w:bCs/>
          <w:color w:val="000000" w:themeColor="text1"/>
          <w:sz w:val="24"/>
          <w:szCs w:val="24"/>
        </w:rPr>
        <w:t>日（不含）的基金份额持有人所收取赎回费用总额的</w:t>
      </w:r>
      <w:r>
        <w:rPr>
          <w:rFonts w:asciiTheme="minorEastAsia" w:hAnsiTheme="minorEastAsia"/>
          <w:bCs/>
          <w:color w:val="000000" w:themeColor="text1"/>
          <w:sz w:val="24"/>
          <w:szCs w:val="24"/>
        </w:rPr>
        <w:t>75%</w:t>
      </w:r>
      <w:r>
        <w:rPr>
          <w:rFonts w:asciiTheme="minorEastAsia" w:hAnsiTheme="minorEastAsia" w:hint="eastAsia"/>
          <w:bCs/>
          <w:color w:val="000000" w:themeColor="text1"/>
          <w:sz w:val="24"/>
          <w:szCs w:val="24"/>
        </w:rPr>
        <w:t>计入基金财产；对持有期在</w:t>
      </w:r>
      <w:r>
        <w:rPr>
          <w:rFonts w:asciiTheme="minorEastAsia" w:hAnsiTheme="minorEastAsia" w:hint="eastAsia"/>
          <w:bCs/>
          <w:color w:val="000000" w:themeColor="text1"/>
          <w:sz w:val="24"/>
          <w:szCs w:val="24"/>
        </w:rPr>
        <w:t>9</w:t>
      </w:r>
      <w:r>
        <w:rPr>
          <w:rFonts w:asciiTheme="minorEastAsia" w:hAnsiTheme="minorEastAsia"/>
          <w:bCs/>
          <w:color w:val="000000" w:themeColor="text1"/>
          <w:sz w:val="24"/>
          <w:szCs w:val="24"/>
        </w:rPr>
        <w:t>0</w:t>
      </w:r>
      <w:r>
        <w:rPr>
          <w:rFonts w:asciiTheme="minorEastAsia" w:hAnsiTheme="minorEastAsia" w:hint="eastAsia"/>
          <w:bCs/>
          <w:color w:val="000000" w:themeColor="text1"/>
          <w:sz w:val="24"/>
          <w:szCs w:val="24"/>
        </w:rPr>
        <w:t>日以上（含）且少于</w:t>
      </w:r>
      <w:r>
        <w:rPr>
          <w:rFonts w:asciiTheme="minorEastAsia" w:hAnsiTheme="minorEastAsia" w:hint="eastAsia"/>
          <w:bCs/>
          <w:color w:val="000000" w:themeColor="text1"/>
          <w:sz w:val="24"/>
          <w:szCs w:val="24"/>
        </w:rPr>
        <w:t>1</w:t>
      </w:r>
      <w:r>
        <w:rPr>
          <w:rFonts w:asciiTheme="minorEastAsia" w:hAnsiTheme="minorEastAsia"/>
          <w:bCs/>
          <w:color w:val="000000" w:themeColor="text1"/>
          <w:sz w:val="24"/>
          <w:szCs w:val="24"/>
        </w:rPr>
        <w:t>80</w:t>
      </w:r>
      <w:r>
        <w:rPr>
          <w:rFonts w:asciiTheme="minorEastAsia" w:hAnsiTheme="minorEastAsia" w:hint="eastAsia"/>
          <w:bCs/>
          <w:color w:val="000000" w:themeColor="text1"/>
          <w:sz w:val="24"/>
          <w:szCs w:val="24"/>
        </w:rPr>
        <w:t>日（不含）的基金份额持有人所收取赎回费用总额的</w:t>
      </w:r>
      <w:r>
        <w:rPr>
          <w:rFonts w:asciiTheme="minorEastAsia" w:hAnsiTheme="minorEastAsia"/>
          <w:bCs/>
          <w:color w:val="000000" w:themeColor="text1"/>
          <w:sz w:val="24"/>
          <w:szCs w:val="24"/>
        </w:rPr>
        <w:t>50</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计入基金财产；对持续持有期</w:t>
      </w:r>
      <w:r>
        <w:rPr>
          <w:rFonts w:asciiTheme="minorEastAsia" w:hAnsiTheme="minorEastAsia" w:hint="eastAsia"/>
          <w:bCs/>
          <w:color w:val="000000" w:themeColor="text1"/>
          <w:sz w:val="24"/>
          <w:szCs w:val="24"/>
        </w:rPr>
        <w:t>1</w:t>
      </w:r>
      <w:r>
        <w:rPr>
          <w:rFonts w:asciiTheme="minorEastAsia" w:hAnsiTheme="minorEastAsia"/>
          <w:bCs/>
          <w:color w:val="000000" w:themeColor="text1"/>
          <w:sz w:val="24"/>
          <w:szCs w:val="24"/>
        </w:rPr>
        <w:t>80</w:t>
      </w:r>
      <w:r>
        <w:rPr>
          <w:rFonts w:asciiTheme="minorEastAsia" w:hAnsiTheme="minorEastAsia" w:hint="eastAsia"/>
          <w:bCs/>
          <w:color w:val="000000" w:themeColor="text1"/>
          <w:sz w:val="24"/>
          <w:szCs w:val="24"/>
        </w:rPr>
        <w:t>日以上（含）的投资者所收取赎回费用总额的</w:t>
      </w:r>
      <w:r>
        <w:rPr>
          <w:rFonts w:asciiTheme="minorEastAsia" w:hAnsiTheme="minorEastAsia" w:hint="eastAsia"/>
          <w:bCs/>
          <w:color w:val="000000" w:themeColor="text1"/>
          <w:sz w:val="24"/>
          <w:szCs w:val="24"/>
        </w:rPr>
        <w:t>2</w:t>
      </w:r>
      <w:r>
        <w:rPr>
          <w:rFonts w:asciiTheme="minorEastAsia" w:hAnsiTheme="minorEastAsia"/>
          <w:bCs/>
          <w:color w:val="000000" w:themeColor="text1"/>
          <w:sz w:val="24"/>
          <w:szCs w:val="24"/>
        </w:rPr>
        <w:t>5%</w:t>
      </w:r>
      <w:r>
        <w:rPr>
          <w:rFonts w:asciiTheme="minorEastAsia" w:hAnsiTheme="minorEastAsia" w:hint="eastAsia"/>
          <w:bCs/>
          <w:color w:val="000000" w:themeColor="text1"/>
          <w:sz w:val="24"/>
          <w:szCs w:val="24"/>
        </w:rPr>
        <w:t>计入基金财产；其余用于支付市场推广、登记费和其他手续费。</w:t>
      </w:r>
    </w:p>
    <w:p w:rsidR="006C198A" w:rsidRDefault="0010401F">
      <w:pPr>
        <w:spacing w:line="420" w:lineRule="exact"/>
        <w:ind w:firstLine="420"/>
        <w:rPr>
          <w:rFonts w:asciiTheme="minorEastAsia" w:hAnsiTheme="minorEastAsia"/>
          <w:color w:val="000000" w:themeColor="text1"/>
          <w:sz w:val="24"/>
          <w:szCs w:val="24"/>
        </w:rPr>
      </w:pPr>
      <w:r>
        <w:rPr>
          <w:rFonts w:asciiTheme="minorEastAsia" w:hAnsiTheme="minorEastAsia" w:hint="eastAsia"/>
          <w:bCs/>
          <w:color w:val="000000" w:themeColor="text1"/>
          <w:sz w:val="24"/>
          <w:szCs w:val="24"/>
        </w:rPr>
        <w:t>投资者的份额持有年限以份额实际持有年限为准。</w:t>
      </w:r>
    </w:p>
    <w:p w:rsidR="006C198A" w:rsidRDefault="0010401F">
      <w:pPr>
        <w:spacing w:line="420" w:lineRule="exact"/>
        <w:ind w:firstLine="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在本基金进入清算程序前，基金份额持有人申请赎回其持有的基金份额时，仍需按照基金合同约定的方式进行。如果发生了巨额赎回的情形，本基金管理人仍然可以根据本基金当时的资产组合状况决定全额赎回、部分延期赎回或暂停赎回等。发生基金合同约定的其他情形，本基金管理人也</w:t>
      </w:r>
      <w:r>
        <w:rPr>
          <w:rFonts w:asciiTheme="minorEastAsia" w:hAnsiTheme="minorEastAsia" w:hint="eastAsia"/>
          <w:color w:val="000000" w:themeColor="text1"/>
          <w:sz w:val="24"/>
          <w:szCs w:val="24"/>
        </w:rPr>
        <w:t>可以暂停接受赎回申请或延缓支付赎回款项。同时，基金管理人也会提前做好流动性安排，对资产进行变现以应对可能出现的赎回情况。</w:t>
      </w:r>
    </w:p>
    <w:p w:rsidR="006C198A" w:rsidRDefault="0010401F">
      <w:pPr>
        <w:spacing w:line="420" w:lineRule="exact"/>
        <w:ind w:firstLine="420"/>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本</w:t>
      </w:r>
      <w:r>
        <w:rPr>
          <w:rFonts w:asciiTheme="minorEastAsia" w:hAnsiTheme="minorEastAsia"/>
          <w:b/>
          <w:color w:val="000000" w:themeColor="text1"/>
          <w:sz w:val="24"/>
          <w:szCs w:val="24"/>
        </w:rPr>
        <w:t>基金</w:t>
      </w:r>
      <w:r>
        <w:rPr>
          <w:rFonts w:asciiTheme="minorEastAsia" w:hAnsiTheme="minorEastAsia" w:hint="eastAsia"/>
          <w:b/>
          <w:color w:val="000000" w:themeColor="text1"/>
          <w:sz w:val="24"/>
          <w:szCs w:val="24"/>
        </w:rPr>
        <w:t>最后运作日为</w:t>
      </w: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022</w:t>
      </w:r>
      <w:r>
        <w:rPr>
          <w:rFonts w:asciiTheme="minorEastAsia" w:hAnsiTheme="minorEastAsia" w:hint="eastAsia"/>
          <w:b/>
          <w:color w:val="000000" w:themeColor="text1"/>
          <w:sz w:val="24"/>
          <w:szCs w:val="24"/>
        </w:rPr>
        <w:t>年</w:t>
      </w:r>
      <w:r>
        <w:rPr>
          <w:rFonts w:asciiTheme="minorEastAsia" w:hAnsiTheme="minorEastAsia" w:hint="eastAsia"/>
          <w:b/>
          <w:color w:val="000000" w:themeColor="text1"/>
          <w:sz w:val="24"/>
          <w:szCs w:val="24"/>
        </w:rPr>
        <w:t>5</w:t>
      </w:r>
      <w:r>
        <w:rPr>
          <w:rFonts w:asciiTheme="minorEastAsia" w:hAnsiTheme="minorEastAsia" w:hint="eastAsia"/>
          <w:b/>
          <w:color w:val="000000" w:themeColor="text1"/>
          <w:sz w:val="24"/>
          <w:szCs w:val="24"/>
        </w:rPr>
        <w:t>月</w:t>
      </w:r>
      <w:r>
        <w:rPr>
          <w:rFonts w:asciiTheme="minorEastAsia" w:hAnsiTheme="minorEastAsia" w:hint="eastAsia"/>
          <w:b/>
          <w:color w:val="000000" w:themeColor="text1"/>
          <w:sz w:val="24"/>
          <w:szCs w:val="24"/>
        </w:rPr>
        <w:t>31</w:t>
      </w:r>
      <w:r>
        <w:rPr>
          <w:rFonts w:asciiTheme="minorEastAsia" w:hAnsiTheme="minorEastAsia" w:hint="eastAsia"/>
          <w:b/>
          <w:color w:val="000000" w:themeColor="text1"/>
          <w:sz w:val="24"/>
          <w:szCs w:val="24"/>
        </w:rPr>
        <w:t>日，</w:t>
      </w:r>
      <w:r>
        <w:rPr>
          <w:rFonts w:asciiTheme="minorEastAsia" w:hAnsiTheme="minorEastAsia"/>
          <w:b/>
          <w:color w:val="000000" w:themeColor="text1"/>
          <w:sz w:val="24"/>
          <w:szCs w:val="24"/>
        </w:rPr>
        <w:t>自</w:t>
      </w:r>
      <w:r>
        <w:rPr>
          <w:rFonts w:asciiTheme="minorEastAsia" w:hAnsiTheme="minorEastAsia"/>
          <w:b/>
          <w:color w:val="000000" w:themeColor="text1"/>
          <w:sz w:val="24"/>
          <w:szCs w:val="24"/>
        </w:rPr>
        <w:t>2022</w:t>
      </w:r>
      <w:r>
        <w:rPr>
          <w:rFonts w:asciiTheme="minorEastAsia" w:hAnsiTheme="minorEastAsia"/>
          <w:b/>
          <w:color w:val="000000" w:themeColor="text1"/>
          <w:sz w:val="24"/>
          <w:szCs w:val="24"/>
        </w:rPr>
        <w:t>年</w:t>
      </w:r>
      <w:r>
        <w:rPr>
          <w:rFonts w:asciiTheme="minorEastAsia" w:hAnsiTheme="minorEastAsia" w:hint="eastAsia"/>
          <w:b/>
          <w:color w:val="000000" w:themeColor="text1"/>
          <w:sz w:val="24"/>
          <w:szCs w:val="24"/>
        </w:rPr>
        <w:t>6</w:t>
      </w:r>
      <w:r>
        <w:rPr>
          <w:rFonts w:asciiTheme="minorEastAsia" w:hAnsiTheme="minorEastAsia"/>
          <w:b/>
          <w:color w:val="000000" w:themeColor="text1"/>
          <w:sz w:val="24"/>
          <w:szCs w:val="24"/>
        </w:rPr>
        <w:t>月</w:t>
      </w:r>
      <w:r>
        <w:rPr>
          <w:rFonts w:asciiTheme="minorEastAsia" w:hAnsiTheme="minorEastAsia" w:hint="eastAsia"/>
          <w:b/>
          <w:color w:val="000000" w:themeColor="text1"/>
          <w:sz w:val="24"/>
          <w:szCs w:val="24"/>
        </w:rPr>
        <w:t>1</w:t>
      </w:r>
      <w:r>
        <w:rPr>
          <w:rFonts w:asciiTheme="minorEastAsia" w:hAnsiTheme="minorEastAsia"/>
          <w:b/>
          <w:color w:val="000000" w:themeColor="text1"/>
          <w:sz w:val="24"/>
          <w:szCs w:val="24"/>
        </w:rPr>
        <w:t>日</w:t>
      </w:r>
      <w:r>
        <w:rPr>
          <w:rFonts w:asciiTheme="minorEastAsia" w:hAnsiTheme="minorEastAsia" w:hint="eastAsia"/>
          <w:b/>
          <w:color w:val="000000" w:themeColor="text1"/>
          <w:sz w:val="24"/>
          <w:szCs w:val="24"/>
        </w:rPr>
        <w:t>起进入清算程序，停止办理本基金</w:t>
      </w:r>
      <w:r>
        <w:rPr>
          <w:rFonts w:asciiTheme="minorEastAsia" w:hAnsiTheme="minorEastAsia"/>
          <w:b/>
          <w:color w:val="000000" w:themeColor="text1"/>
          <w:sz w:val="24"/>
          <w:szCs w:val="24"/>
        </w:rPr>
        <w:t>基金份额的</w:t>
      </w:r>
      <w:r>
        <w:rPr>
          <w:rFonts w:asciiTheme="minorEastAsia" w:hAnsiTheme="minorEastAsia" w:hint="eastAsia"/>
          <w:b/>
          <w:color w:val="000000" w:themeColor="text1"/>
          <w:sz w:val="24"/>
          <w:szCs w:val="24"/>
        </w:rPr>
        <w:t>申购、赎回、定期定额投资、转换等业务，并且之后不再恢复。本基金进入清算程序后（含进入清算程序当日），停止计提基金管理费、基金托管费。</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lastRenderedPageBreak/>
        <w:t>2</w:t>
      </w:r>
      <w:r>
        <w:rPr>
          <w:rFonts w:asciiTheme="minorEastAsia" w:hAnsiTheme="minorEastAsia" w:cs="Times New Roman" w:hint="eastAsia"/>
          <w:color w:val="000000"/>
          <w:kern w:val="0"/>
          <w:sz w:val="24"/>
          <w:szCs w:val="24"/>
        </w:rPr>
        <w:t>、基金财产清算小组。</w:t>
      </w:r>
    </w:p>
    <w:p w:rsidR="006C198A" w:rsidRDefault="0010401F">
      <w:pPr>
        <w:spacing w:line="420" w:lineRule="exact"/>
        <w:ind w:firstLine="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自出现基金合同终止事由之日起</w:t>
      </w:r>
      <w:r>
        <w:rPr>
          <w:rFonts w:asciiTheme="minorEastAsia" w:hAnsiTheme="minorEastAsia"/>
          <w:color w:val="000000" w:themeColor="text1"/>
          <w:sz w:val="24"/>
          <w:szCs w:val="24"/>
        </w:rPr>
        <w:t>30</w:t>
      </w:r>
      <w:r>
        <w:rPr>
          <w:rFonts w:asciiTheme="minorEastAsia" w:hAnsiTheme="minorEastAsia" w:hint="eastAsia"/>
          <w:color w:val="000000" w:themeColor="text1"/>
          <w:sz w:val="24"/>
          <w:szCs w:val="24"/>
        </w:rPr>
        <w:t>个工作日内成立清算小组，基金管理人组织基金财产清算小组并在中国证监会的监督下进行基金清算。</w:t>
      </w:r>
    </w:p>
    <w:p w:rsidR="006C198A" w:rsidRDefault="0010401F">
      <w:pPr>
        <w:spacing w:line="420" w:lineRule="exact"/>
        <w:ind w:firstLine="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基金财产清算小组成员由基金管理人、基金托管人、</w:t>
      </w:r>
      <w:r>
        <w:rPr>
          <w:rFonts w:asciiTheme="minorEastAsia" w:hAnsiTheme="minorEastAsia"/>
          <w:color w:val="000000" w:themeColor="text1"/>
          <w:sz w:val="24"/>
          <w:szCs w:val="24"/>
        </w:rPr>
        <w:t>符合《中华人民共和国证券法》规定的注册会计师</w:t>
      </w:r>
      <w:r>
        <w:rPr>
          <w:rFonts w:asciiTheme="minorEastAsia" w:hAnsiTheme="minorEastAsia" w:hint="eastAsia"/>
          <w:color w:val="000000" w:themeColor="text1"/>
          <w:sz w:val="24"/>
          <w:szCs w:val="24"/>
        </w:rPr>
        <w:t>、律师以及中国证监会指定的人员组成。基金财产清算小组可以聘请必要的工作人员。</w:t>
      </w:r>
    </w:p>
    <w:p w:rsidR="006C198A" w:rsidRDefault="0010401F">
      <w:pPr>
        <w:spacing w:line="420" w:lineRule="exact"/>
        <w:ind w:firstLine="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基金财产清算小组负责基金财产的保管、清理、估价、变现和分配。基金财产清算小组可以依法进行必要的民事活动。</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3</w:t>
      </w:r>
      <w:r>
        <w:rPr>
          <w:rFonts w:asciiTheme="minorEastAsia" w:hAnsiTheme="minorEastAsia" w:cs="Times New Roman" w:hint="eastAsia"/>
          <w:color w:val="000000"/>
          <w:kern w:val="0"/>
          <w:sz w:val="24"/>
          <w:szCs w:val="24"/>
        </w:rPr>
        <w:t>、基金财产清算程序。</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1</w:t>
      </w:r>
      <w:r>
        <w:rPr>
          <w:rFonts w:asciiTheme="minorEastAsia" w:hAnsiTheme="minorEastAsia" w:cs="Times New Roman" w:hint="eastAsia"/>
          <w:color w:val="000000"/>
          <w:kern w:val="0"/>
          <w:sz w:val="24"/>
          <w:szCs w:val="24"/>
        </w:rPr>
        <w:t>）基金合同终止情形出现时，由基金财产清算小组统一接管基金；</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2</w:t>
      </w:r>
      <w:r>
        <w:rPr>
          <w:rFonts w:asciiTheme="minorEastAsia" w:hAnsiTheme="minorEastAsia" w:cs="Times New Roman" w:hint="eastAsia"/>
          <w:color w:val="000000"/>
          <w:kern w:val="0"/>
          <w:sz w:val="24"/>
          <w:szCs w:val="24"/>
        </w:rPr>
        <w:t>）对基金财产和债权债务进行清理和确认；</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3</w:t>
      </w:r>
      <w:r>
        <w:rPr>
          <w:rFonts w:asciiTheme="minorEastAsia" w:hAnsiTheme="minorEastAsia" w:cs="Times New Roman" w:hint="eastAsia"/>
          <w:color w:val="000000"/>
          <w:kern w:val="0"/>
          <w:sz w:val="24"/>
          <w:szCs w:val="24"/>
        </w:rPr>
        <w:t>）对基金财产进行估值和变现；</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4</w:t>
      </w:r>
      <w:r>
        <w:rPr>
          <w:rFonts w:asciiTheme="minorEastAsia" w:hAnsiTheme="minorEastAsia" w:cs="Times New Roman" w:hint="eastAsia"/>
          <w:color w:val="000000"/>
          <w:kern w:val="0"/>
          <w:sz w:val="24"/>
          <w:szCs w:val="24"/>
        </w:rPr>
        <w:t>）制作清算报告；</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5</w:t>
      </w: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聘请符合《中华人民共和国证券法》规定的会计师</w:t>
      </w:r>
      <w:r>
        <w:rPr>
          <w:rFonts w:asciiTheme="minorEastAsia" w:hAnsiTheme="minorEastAsia" w:cs="Times New Roman"/>
          <w:color w:val="000000"/>
          <w:kern w:val="0"/>
          <w:sz w:val="24"/>
          <w:szCs w:val="24"/>
        </w:rPr>
        <w:t>事务所对清算报告进行外部审计，聘请律师事务所对清算报告出具法律意见书</w:t>
      </w:r>
      <w:r>
        <w:rPr>
          <w:rFonts w:asciiTheme="minorEastAsia" w:hAnsiTheme="minorEastAsia" w:cs="Times New Roman" w:hint="eastAsia"/>
          <w:color w:val="000000"/>
          <w:kern w:val="0"/>
          <w:sz w:val="24"/>
          <w:szCs w:val="24"/>
        </w:rPr>
        <w:t>；</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6</w:t>
      </w:r>
      <w:r>
        <w:rPr>
          <w:rFonts w:asciiTheme="minorEastAsia" w:hAnsiTheme="minorEastAsia" w:cs="Times New Roman" w:hint="eastAsia"/>
          <w:color w:val="000000"/>
          <w:kern w:val="0"/>
          <w:sz w:val="24"/>
          <w:szCs w:val="24"/>
        </w:rPr>
        <w:t>）将清算报告报中国证监会备案并公告；</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7</w:t>
      </w:r>
      <w:r>
        <w:rPr>
          <w:rFonts w:asciiTheme="minorEastAsia" w:hAnsiTheme="minorEastAsia" w:cs="Times New Roman" w:hint="eastAsia"/>
          <w:color w:val="000000"/>
          <w:kern w:val="0"/>
          <w:sz w:val="24"/>
          <w:szCs w:val="24"/>
        </w:rPr>
        <w:t>）对基金剩余财产进行分配。</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4</w:t>
      </w:r>
      <w:r>
        <w:rPr>
          <w:rFonts w:asciiTheme="minorEastAsia" w:hAnsiTheme="minorEastAsia" w:cs="Times New Roman" w:hint="eastAsia"/>
          <w:color w:val="000000"/>
          <w:kern w:val="0"/>
          <w:sz w:val="24"/>
          <w:szCs w:val="24"/>
        </w:rPr>
        <w:t>、基金财产清算的期限为</w:t>
      </w:r>
      <w:r>
        <w:rPr>
          <w:rFonts w:asciiTheme="minorEastAsia" w:hAnsiTheme="minorEastAsia" w:cs="Times New Roman"/>
          <w:color w:val="000000"/>
          <w:kern w:val="0"/>
          <w:sz w:val="24"/>
          <w:szCs w:val="24"/>
        </w:rPr>
        <w:t>6</w:t>
      </w:r>
      <w:r>
        <w:rPr>
          <w:rFonts w:asciiTheme="minorEastAsia" w:hAnsiTheme="minorEastAsia" w:cs="Times New Roman" w:hint="eastAsia"/>
          <w:color w:val="000000"/>
          <w:kern w:val="0"/>
          <w:sz w:val="24"/>
          <w:szCs w:val="24"/>
        </w:rPr>
        <w:t>个月。</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5</w:t>
      </w:r>
      <w:r>
        <w:rPr>
          <w:rFonts w:asciiTheme="minorEastAsia" w:hAnsiTheme="minorEastAsia" w:cs="Times New Roman" w:hint="eastAsia"/>
          <w:color w:val="000000"/>
          <w:kern w:val="0"/>
          <w:sz w:val="24"/>
          <w:szCs w:val="24"/>
        </w:rPr>
        <w:t>、清算费用。</w:t>
      </w:r>
    </w:p>
    <w:p w:rsidR="006C198A" w:rsidRDefault="0010401F">
      <w:pPr>
        <w:spacing w:line="360" w:lineRule="auto"/>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清算费用是指基金财产清算小组在进行基金清算过程中发生的所有合理费用，清算费用由基金财产清算小组优先从基金财产中支付。</w:t>
      </w:r>
    </w:p>
    <w:p w:rsidR="006C198A" w:rsidRDefault="0010401F">
      <w:pPr>
        <w:spacing w:line="360" w:lineRule="auto"/>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本次清算预计共计发生清算费用</w:t>
      </w:r>
      <w:r>
        <w:rPr>
          <w:rFonts w:asciiTheme="minorEastAsia" w:hAnsiTheme="minorEastAsia" w:cs="Times New Roman"/>
          <w:color w:val="000000"/>
          <w:kern w:val="0"/>
          <w:sz w:val="24"/>
          <w:szCs w:val="24"/>
        </w:rPr>
        <w:t>30,000</w:t>
      </w:r>
      <w:r>
        <w:rPr>
          <w:rFonts w:asciiTheme="minorEastAsia" w:hAnsiTheme="minorEastAsia" w:cs="Times New Roman" w:hint="eastAsia"/>
          <w:color w:val="000000"/>
          <w:kern w:val="0"/>
          <w:sz w:val="24"/>
          <w:szCs w:val="24"/>
        </w:rPr>
        <w:t>.00</w:t>
      </w:r>
      <w:r>
        <w:rPr>
          <w:rFonts w:asciiTheme="minorEastAsia" w:hAnsiTheme="minorEastAsia" w:cs="Times New Roman" w:hint="eastAsia"/>
          <w:color w:val="000000"/>
          <w:kern w:val="0"/>
          <w:sz w:val="24"/>
          <w:szCs w:val="24"/>
        </w:rPr>
        <w:t>元，其中律师费用</w:t>
      </w:r>
      <w:r>
        <w:rPr>
          <w:rFonts w:asciiTheme="minorEastAsia" w:hAnsiTheme="minorEastAsia" w:cs="Times New Roman" w:hint="eastAsia"/>
          <w:color w:val="000000"/>
          <w:kern w:val="0"/>
          <w:sz w:val="24"/>
          <w:szCs w:val="24"/>
        </w:rPr>
        <w:t>1</w:t>
      </w:r>
      <w:r>
        <w:rPr>
          <w:rFonts w:asciiTheme="minorEastAsia" w:hAnsiTheme="minorEastAsia" w:cs="Times New Roman"/>
          <w:color w:val="000000"/>
          <w:kern w:val="0"/>
          <w:sz w:val="24"/>
          <w:szCs w:val="24"/>
        </w:rPr>
        <w:t>0</w:t>
      </w: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000.00</w:t>
      </w:r>
      <w:r>
        <w:rPr>
          <w:rFonts w:asciiTheme="minorEastAsia" w:hAnsiTheme="minorEastAsia" w:cs="Times New Roman" w:hint="eastAsia"/>
          <w:color w:val="000000"/>
          <w:kern w:val="0"/>
          <w:sz w:val="24"/>
          <w:szCs w:val="24"/>
        </w:rPr>
        <w:t>元、审计费用</w:t>
      </w:r>
      <w:r>
        <w:rPr>
          <w:rFonts w:asciiTheme="minorEastAsia" w:hAnsiTheme="minorEastAsia" w:cs="Times New Roman"/>
          <w:color w:val="000000"/>
          <w:kern w:val="0"/>
          <w:sz w:val="24"/>
          <w:szCs w:val="24"/>
        </w:rPr>
        <w:t>20,000</w:t>
      </w:r>
      <w:r>
        <w:rPr>
          <w:rFonts w:asciiTheme="minorEastAsia" w:hAnsiTheme="minorEastAsia" w:cs="Times New Roman" w:hint="eastAsia"/>
          <w:color w:val="000000"/>
          <w:kern w:val="0"/>
          <w:sz w:val="24"/>
          <w:szCs w:val="24"/>
        </w:rPr>
        <w:t>.00</w:t>
      </w:r>
      <w:r>
        <w:rPr>
          <w:rFonts w:asciiTheme="minorEastAsia" w:hAnsiTheme="minorEastAsia" w:cs="Times New Roman" w:hint="eastAsia"/>
          <w:color w:val="000000"/>
          <w:kern w:val="0"/>
          <w:sz w:val="24"/>
          <w:szCs w:val="24"/>
        </w:rPr>
        <w:t>元。最终费用</w:t>
      </w:r>
      <w:r>
        <w:rPr>
          <w:rFonts w:asciiTheme="minorEastAsia" w:hAnsiTheme="minorEastAsia" w:cs="Times New Roman"/>
          <w:color w:val="000000"/>
          <w:kern w:val="0"/>
          <w:sz w:val="24"/>
          <w:szCs w:val="24"/>
        </w:rPr>
        <w:t>以实际发生</w:t>
      </w:r>
      <w:r>
        <w:rPr>
          <w:rFonts w:asciiTheme="minorEastAsia" w:hAnsiTheme="minorEastAsia" w:cs="Times New Roman" w:hint="eastAsia"/>
          <w:color w:val="000000"/>
          <w:kern w:val="0"/>
          <w:sz w:val="24"/>
          <w:szCs w:val="24"/>
        </w:rPr>
        <w:t>的</w:t>
      </w:r>
      <w:r>
        <w:rPr>
          <w:rFonts w:asciiTheme="minorEastAsia" w:hAnsiTheme="minorEastAsia" w:cs="Times New Roman"/>
          <w:color w:val="000000"/>
          <w:kern w:val="0"/>
          <w:sz w:val="24"/>
          <w:szCs w:val="24"/>
        </w:rPr>
        <w:t>费用为准，</w:t>
      </w:r>
      <w:r>
        <w:rPr>
          <w:rFonts w:asciiTheme="minorEastAsia" w:hAnsiTheme="minorEastAsia" w:cs="Times New Roman" w:hint="eastAsia"/>
          <w:color w:val="000000"/>
          <w:kern w:val="0"/>
          <w:sz w:val="24"/>
          <w:szCs w:val="24"/>
        </w:rPr>
        <w:t>前述预计费用将在基金清算资产中预提，待取得收费发票后，由基金剩余财产优先清偿。</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6</w:t>
      </w:r>
      <w:r>
        <w:rPr>
          <w:rFonts w:asciiTheme="minorEastAsia" w:hAnsiTheme="minorEastAsia" w:cs="Times New Roman" w:hint="eastAsia"/>
          <w:color w:val="000000"/>
          <w:kern w:val="0"/>
          <w:sz w:val="24"/>
          <w:szCs w:val="24"/>
        </w:rPr>
        <w:t>、基金财产清算剩余资产的分配</w:t>
      </w:r>
    </w:p>
    <w:p w:rsidR="006C198A" w:rsidRDefault="0010401F">
      <w:pPr>
        <w:spacing w:line="360" w:lineRule="auto"/>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本基金依据基金财产清算的分配方案，将基金财产清算后的全部剩余资产扣</w:t>
      </w: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除基金财产清算费用、交纳所欠税款并清偿基金债务后，按基金份额持有人持有</w:t>
      </w: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的基金份额比例进行分配。</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7</w:t>
      </w:r>
      <w:r>
        <w:rPr>
          <w:rFonts w:asciiTheme="minorEastAsia" w:hAnsiTheme="minorEastAsia" w:cs="Times New Roman" w:hint="eastAsia"/>
          <w:color w:val="000000"/>
          <w:kern w:val="0"/>
          <w:sz w:val="24"/>
          <w:szCs w:val="24"/>
        </w:rPr>
        <w:t>、基金财产清算的公告</w:t>
      </w:r>
    </w:p>
    <w:p w:rsidR="006C198A" w:rsidRDefault="0010401F">
      <w:pPr>
        <w:spacing w:line="360" w:lineRule="auto"/>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清算过程中的有关重大事项须及时公告；</w:t>
      </w:r>
      <w:r>
        <w:rPr>
          <w:rFonts w:asciiTheme="minorEastAsia" w:hAnsiTheme="minorEastAsia" w:cs="Times New Roman"/>
          <w:color w:val="000000"/>
          <w:kern w:val="0"/>
          <w:sz w:val="24"/>
          <w:szCs w:val="24"/>
        </w:rPr>
        <w:t>基金财产清算报告经符合《中华人民共和国证券法》规定的会计师事务所审计并由律师事务所出具法律意见书后报中国证监会备案并公告。基金财产清算公告于基金财产清算报告报中国证监会备</w:t>
      </w:r>
      <w:r>
        <w:rPr>
          <w:rFonts w:asciiTheme="minorEastAsia" w:hAnsiTheme="minorEastAsia" w:cs="Times New Roman"/>
          <w:color w:val="000000"/>
          <w:kern w:val="0"/>
          <w:sz w:val="24"/>
          <w:szCs w:val="24"/>
        </w:rPr>
        <w:lastRenderedPageBreak/>
        <w:t>案后</w:t>
      </w:r>
      <w:r>
        <w:rPr>
          <w:rFonts w:asciiTheme="minorEastAsia" w:hAnsiTheme="minorEastAsia" w:cs="Times New Roman"/>
          <w:color w:val="000000"/>
          <w:kern w:val="0"/>
          <w:sz w:val="24"/>
          <w:szCs w:val="24"/>
        </w:rPr>
        <w:t>5</w:t>
      </w:r>
      <w:r>
        <w:rPr>
          <w:rFonts w:asciiTheme="minorEastAsia" w:hAnsiTheme="minorEastAsia" w:cs="Times New Roman"/>
          <w:color w:val="000000"/>
          <w:kern w:val="0"/>
          <w:sz w:val="24"/>
          <w:szCs w:val="24"/>
        </w:rPr>
        <w:t>个工作日内由基金财产清算小组进行公告。基金财产清算小组应当将清算报告登载在规定网站上，并将清算报告提示性公告登载在规定报刊上</w:t>
      </w:r>
      <w:r>
        <w:rPr>
          <w:rFonts w:asciiTheme="minorEastAsia" w:hAnsiTheme="minorEastAsia" w:cs="Times New Roman" w:hint="eastAsia"/>
          <w:color w:val="000000"/>
          <w:kern w:val="0"/>
          <w:sz w:val="24"/>
          <w:szCs w:val="24"/>
        </w:rPr>
        <w:t>。</w:t>
      </w:r>
    </w:p>
    <w:p w:rsidR="006C198A" w:rsidRDefault="0010401F">
      <w:pPr>
        <w:spacing w:line="420" w:lineRule="exact"/>
        <w:ind w:firstLine="42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8</w:t>
      </w:r>
      <w:r>
        <w:rPr>
          <w:rFonts w:asciiTheme="minorEastAsia" w:hAnsiTheme="minorEastAsia" w:cs="Times New Roman" w:hint="eastAsia"/>
          <w:color w:val="000000"/>
          <w:kern w:val="0"/>
          <w:sz w:val="24"/>
          <w:szCs w:val="24"/>
        </w:rPr>
        <w:t>、基金财产清算账册及文件的保存</w:t>
      </w:r>
    </w:p>
    <w:p w:rsidR="006C198A" w:rsidRDefault="0010401F">
      <w:pPr>
        <w:spacing w:line="360" w:lineRule="auto"/>
        <w:ind w:firstLine="42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基金财产清算账册及有关文件由基金托管人按照不低于法律法规规定的最低年限进行保存。</w:t>
      </w:r>
    </w:p>
    <w:p w:rsidR="006C198A" w:rsidRDefault="0010401F">
      <w:pPr>
        <w:spacing w:line="420" w:lineRule="exact"/>
        <w:ind w:firstLine="420"/>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四、特别提示</w:t>
      </w:r>
    </w:p>
    <w:p w:rsidR="006C198A" w:rsidRDefault="0010401F">
      <w:pPr>
        <w:spacing w:line="420" w:lineRule="exact"/>
        <w:ind w:firstLine="420"/>
        <w:rPr>
          <w:rFonts w:asciiTheme="minorEastAsia" w:hAnsiTheme="minorEastAsia"/>
          <w:color w:val="000000" w:themeColor="text1"/>
          <w:sz w:val="24"/>
          <w:szCs w:val="24"/>
        </w:rPr>
      </w:pPr>
      <w:r>
        <w:rPr>
          <w:rFonts w:asciiTheme="minorEastAsia" w:hAnsiTheme="minorEastAsia"/>
          <w:color w:val="000000" w:themeColor="text1"/>
          <w:sz w:val="24"/>
          <w:szCs w:val="24"/>
        </w:rPr>
        <w:t>1</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本基金进入清算程序后，如因本基金所持资产的流动性受限等客观因素影响，可能需要进行二次或多次清算。基金财产在流动性受限资产变现处置过程中亦可能产生进一步收益或损失。本基金若进行二次清算将相应产生清算费用。</w:t>
      </w:r>
    </w:p>
    <w:p w:rsidR="006C198A" w:rsidRDefault="0010401F">
      <w:pPr>
        <w:spacing w:line="420" w:lineRule="exact"/>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、本基金进入清算程序后停止办理本基金基金份额的申购、赎回、定期定额投资、转换等业务，并且之后不再恢复，</w:t>
      </w:r>
      <w:bookmarkStart w:id="0" w:name="_GoBack"/>
      <w:bookmarkEnd w:id="0"/>
      <w:r>
        <w:rPr>
          <w:rFonts w:asciiTheme="minorEastAsia" w:hAnsiTheme="minorEastAsia" w:cs="宋体" w:hint="eastAsia"/>
          <w:color w:val="000000"/>
          <w:kern w:val="0"/>
          <w:sz w:val="24"/>
          <w:szCs w:val="24"/>
        </w:rPr>
        <w:t>敬请投资者关注相应的流动性风险。</w:t>
      </w:r>
    </w:p>
    <w:p w:rsidR="006C198A" w:rsidRDefault="0010401F">
      <w:pPr>
        <w:spacing w:line="420" w:lineRule="exact"/>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、本公司承诺在清算过程中以诚实信用、勤勉尽责的原则履行相关职责。</w:t>
      </w:r>
    </w:p>
    <w:p w:rsidR="006C198A" w:rsidRDefault="0010401F">
      <w:pPr>
        <w:spacing w:line="420" w:lineRule="exact"/>
        <w:ind w:firstLine="42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投资者欲了解本基金的详细情况</w:t>
      </w:r>
      <w:r>
        <w:rPr>
          <w:rFonts w:asciiTheme="minorEastAsia" w:hAnsiTheme="minorEastAsia" w:cs="宋体"/>
          <w:color w:val="000000"/>
          <w:kern w:val="0"/>
          <w:sz w:val="24"/>
          <w:szCs w:val="24"/>
        </w:rPr>
        <w:t>,</w:t>
      </w:r>
      <w:r>
        <w:rPr>
          <w:rFonts w:asciiTheme="minorEastAsia" w:hAnsiTheme="minorEastAsia" w:cs="宋体"/>
          <w:color w:val="000000"/>
          <w:kern w:val="0"/>
          <w:sz w:val="24"/>
          <w:szCs w:val="24"/>
        </w:rPr>
        <w:t>请认真阅读本基金基金合同</w:t>
      </w:r>
      <w:r>
        <w:rPr>
          <w:rFonts w:asciiTheme="minorEastAsia" w:hAnsiTheme="minorEastAsia" w:cs="宋体" w:hint="eastAsia"/>
          <w:color w:val="000000"/>
          <w:kern w:val="0"/>
          <w:sz w:val="24"/>
          <w:szCs w:val="24"/>
        </w:rPr>
        <w:t>、招募说明书及基金产品资料概要。投资者可以登录基金管理人网站（</w:t>
      </w:r>
      <w:r>
        <w:rPr>
          <w:rFonts w:asciiTheme="minorEastAsia" w:hAnsiTheme="minorEastAsia" w:cs="宋体"/>
          <w:color w:val="000000"/>
          <w:kern w:val="0"/>
          <w:sz w:val="24"/>
          <w:szCs w:val="24"/>
        </w:rPr>
        <w:t>http://www.jtamc.com/</w:t>
      </w:r>
      <w:r>
        <w:rPr>
          <w:rFonts w:asciiTheme="minorEastAsia" w:hAnsiTheme="minorEastAsia" w:cs="宋体"/>
          <w:color w:val="000000"/>
          <w:kern w:val="0"/>
          <w:sz w:val="24"/>
          <w:szCs w:val="24"/>
        </w:rPr>
        <w:t>）查询或拨打本公司客服电话（</w:t>
      </w:r>
      <w:r>
        <w:rPr>
          <w:rFonts w:asciiTheme="minorEastAsia" w:hAnsiTheme="minorEastAsia" w:cs="宋体"/>
          <w:color w:val="000000"/>
          <w:kern w:val="0"/>
          <w:sz w:val="24"/>
          <w:szCs w:val="24"/>
        </w:rPr>
        <w:t>400-628-0606</w:t>
      </w:r>
      <w:r>
        <w:rPr>
          <w:rFonts w:asciiTheme="minorEastAsia" w:hAnsiTheme="minorEastAsia" w:cs="宋体"/>
          <w:color w:val="000000"/>
          <w:kern w:val="0"/>
          <w:sz w:val="24"/>
          <w:szCs w:val="24"/>
        </w:rPr>
        <w:t>）垂询相关事宜。</w:t>
      </w:r>
    </w:p>
    <w:p w:rsidR="006C198A" w:rsidRDefault="006C198A">
      <w:pPr>
        <w:spacing w:line="420" w:lineRule="exact"/>
        <w:ind w:firstLine="420"/>
        <w:rPr>
          <w:rFonts w:asciiTheme="minorEastAsia" w:hAnsiTheme="minorEastAsia" w:cs="宋体"/>
          <w:color w:val="000000"/>
          <w:kern w:val="0"/>
          <w:sz w:val="24"/>
          <w:szCs w:val="24"/>
        </w:rPr>
      </w:pPr>
    </w:p>
    <w:p w:rsidR="006C198A" w:rsidRDefault="0010401F">
      <w:pPr>
        <w:spacing w:line="420" w:lineRule="exact"/>
        <w:ind w:firstLine="42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rsidR="006C198A" w:rsidRDefault="006C198A">
      <w:pPr>
        <w:spacing w:line="420" w:lineRule="exact"/>
        <w:ind w:firstLine="420"/>
        <w:jc w:val="right"/>
        <w:rPr>
          <w:rFonts w:asciiTheme="minorEastAsia" w:hAnsiTheme="minorEastAsia" w:cs="宋体"/>
          <w:color w:val="000000"/>
          <w:kern w:val="0"/>
          <w:sz w:val="24"/>
          <w:szCs w:val="24"/>
        </w:rPr>
      </w:pPr>
    </w:p>
    <w:p w:rsidR="006C198A" w:rsidRDefault="006C198A">
      <w:pPr>
        <w:spacing w:line="420" w:lineRule="exact"/>
        <w:ind w:firstLine="420"/>
        <w:jc w:val="right"/>
        <w:rPr>
          <w:rFonts w:asciiTheme="minorEastAsia" w:hAnsiTheme="minorEastAsia" w:cs="宋体"/>
          <w:color w:val="000000"/>
          <w:kern w:val="0"/>
          <w:sz w:val="24"/>
          <w:szCs w:val="24"/>
        </w:rPr>
      </w:pPr>
    </w:p>
    <w:p w:rsidR="006C198A" w:rsidRDefault="0010401F">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九泰基金管理有限公司</w:t>
      </w:r>
    </w:p>
    <w:p w:rsidR="006C198A" w:rsidRDefault="0010401F">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2022</w:t>
      </w:r>
      <w:r>
        <w:rPr>
          <w:rFonts w:asciiTheme="minorEastAsia" w:hAnsiTheme="minorEastAsia" w:cs="宋体"/>
          <w:color w:val="000000"/>
          <w:kern w:val="0"/>
          <w:sz w:val="24"/>
          <w:szCs w:val="24"/>
        </w:rPr>
        <w:t>年</w:t>
      </w:r>
      <w:r>
        <w:rPr>
          <w:rFonts w:asciiTheme="minorEastAsia" w:hAnsiTheme="minorEastAsia" w:cs="宋体" w:hint="eastAsia"/>
          <w:color w:val="000000"/>
          <w:kern w:val="0"/>
          <w:sz w:val="24"/>
          <w:szCs w:val="24"/>
        </w:rPr>
        <w:t>5</w:t>
      </w:r>
      <w:r>
        <w:rPr>
          <w:rFonts w:asciiTheme="minorEastAsia" w:hAnsiTheme="minorEastAsia" w:cs="宋体"/>
          <w:color w:val="000000"/>
          <w:kern w:val="0"/>
          <w:sz w:val="24"/>
          <w:szCs w:val="24"/>
        </w:rPr>
        <w:t>月</w:t>
      </w:r>
      <w:r>
        <w:rPr>
          <w:rFonts w:asciiTheme="minorEastAsia" w:hAnsiTheme="minorEastAsia" w:cs="宋体" w:hint="eastAsia"/>
          <w:color w:val="000000"/>
          <w:kern w:val="0"/>
          <w:sz w:val="24"/>
          <w:szCs w:val="24"/>
        </w:rPr>
        <w:t>24</w:t>
      </w:r>
      <w:r>
        <w:rPr>
          <w:rFonts w:asciiTheme="minorEastAsia" w:hAnsiTheme="minorEastAsia" w:cs="宋体"/>
          <w:color w:val="000000"/>
          <w:kern w:val="0"/>
          <w:sz w:val="24"/>
          <w:szCs w:val="24"/>
        </w:rPr>
        <w:t>日</w:t>
      </w:r>
    </w:p>
    <w:sectPr w:rsidR="006C198A" w:rsidSect="006C19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7F42"/>
    <w:rsid w:val="00001546"/>
    <w:rsid w:val="000039B3"/>
    <w:rsid w:val="000126B6"/>
    <w:rsid w:val="000145E6"/>
    <w:rsid w:val="00016968"/>
    <w:rsid w:val="00023EBD"/>
    <w:rsid w:val="00041C7D"/>
    <w:rsid w:val="000438A8"/>
    <w:rsid w:val="00046370"/>
    <w:rsid w:val="00052148"/>
    <w:rsid w:val="00060E7F"/>
    <w:rsid w:val="00075876"/>
    <w:rsid w:val="00083885"/>
    <w:rsid w:val="000A6F59"/>
    <w:rsid w:val="000B4EDB"/>
    <w:rsid w:val="000C5D02"/>
    <w:rsid w:val="000C6126"/>
    <w:rsid w:val="000D1068"/>
    <w:rsid w:val="000D26F8"/>
    <w:rsid w:val="000D474D"/>
    <w:rsid w:val="000E5346"/>
    <w:rsid w:val="0010401F"/>
    <w:rsid w:val="0010528D"/>
    <w:rsid w:val="00105DC1"/>
    <w:rsid w:val="00105FF4"/>
    <w:rsid w:val="00107E13"/>
    <w:rsid w:val="00116EA9"/>
    <w:rsid w:val="001213DC"/>
    <w:rsid w:val="001226E3"/>
    <w:rsid w:val="00131DD2"/>
    <w:rsid w:val="0013416A"/>
    <w:rsid w:val="00135A19"/>
    <w:rsid w:val="00143EE3"/>
    <w:rsid w:val="0014559E"/>
    <w:rsid w:val="001508B7"/>
    <w:rsid w:val="00151E0A"/>
    <w:rsid w:val="00161A4A"/>
    <w:rsid w:val="001916A7"/>
    <w:rsid w:val="00191B67"/>
    <w:rsid w:val="001920FA"/>
    <w:rsid w:val="001A10BC"/>
    <w:rsid w:val="001B6C76"/>
    <w:rsid w:val="001C5470"/>
    <w:rsid w:val="001D007C"/>
    <w:rsid w:val="001D0CED"/>
    <w:rsid w:val="001D0E85"/>
    <w:rsid w:val="001D16E2"/>
    <w:rsid w:val="001E16C8"/>
    <w:rsid w:val="001E27FB"/>
    <w:rsid w:val="002143C2"/>
    <w:rsid w:val="00216DF2"/>
    <w:rsid w:val="00223668"/>
    <w:rsid w:val="00223AF3"/>
    <w:rsid w:val="00231887"/>
    <w:rsid w:val="002344E6"/>
    <w:rsid w:val="00235656"/>
    <w:rsid w:val="00250C39"/>
    <w:rsid w:val="00264DA0"/>
    <w:rsid w:val="002812F4"/>
    <w:rsid w:val="0029123A"/>
    <w:rsid w:val="002930A6"/>
    <w:rsid w:val="00295B29"/>
    <w:rsid w:val="002A7431"/>
    <w:rsid w:val="002C3665"/>
    <w:rsid w:val="00322E39"/>
    <w:rsid w:val="0033414F"/>
    <w:rsid w:val="00337ED6"/>
    <w:rsid w:val="00340D5F"/>
    <w:rsid w:val="00350607"/>
    <w:rsid w:val="0036697C"/>
    <w:rsid w:val="003852C7"/>
    <w:rsid w:val="00392F2B"/>
    <w:rsid w:val="00395EC0"/>
    <w:rsid w:val="003970AE"/>
    <w:rsid w:val="003C5F28"/>
    <w:rsid w:val="003C66F8"/>
    <w:rsid w:val="003D2106"/>
    <w:rsid w:val="003E1729"/>
    <w:rsid w:val="00403AFF"/>
    <w:rsid w:val="00404649"/>
    <w:rsid w:val="004159A7"/>
    <w:rsid w:val="00430C9D"/>
    <w:rsid w:val="004426B1"/>
    <w:rsid w:val="00444047"/>
    <w:rsid w:val="00457083"/>
    <w:rsid w:val="00464732"/>
    <w:rsid w:val="004660E4"/>
    <w:rsid w:val="00476B73"/>
    <w:rsid w:val="00477128"/>
    <w:rsid w:val="00486365"/>
    <w:rsid w:val="00486B9D"/>
    <w:rsid w:val="0049101D"/>
    <w:rsid w:val="004B37F9"/>
    <w:rsid w:val="004D6124"/>
    <w:rsid w:val="004D7E32"/>
    <w:rsid w:val="004E6C30"/>
    <w:rsid w:val="004E6E25"/>
    <w:rsid w:val="004F79BE"/>
    <w:rsid w:val="004F7EDC"/>
    <w:rsid w:val="00511A80"/>
    <w:rsid w:val="005150C1"/>
    <w:rsid w:val="005171F8"/>
    <w:rsid w:val="00532036"/>
    <w:rsid w:val="00543ACA"/>
    <w:rsid w:val="005517D1"/>
    <w:rsid w:val="005535FC"/>
    <w:rsid w:val="005609AA"/>
    <w:rsid w:val="00566ACB"/>
    <w:rsid w:val="005817EC"/>
    <w:rsid w:val="00585286"/>
    <w:rsid w:val="005922D2"/>
    <w:rsid w:val="00592369"/>
    <w:rsid w:val="0059472B"/>
    <w:rsid w:val="005B3AB3"/>
    <w:rsid w:val="005B54F8"/>
    <w:rsid w:val="005B603A"/>
    <w:rsid w:val="005B60CE"/>
    <w:rsid w:val="005C5C47"/>
    <w:rsid w:val="005D28A9"/>
    <w:rsid w:val="005D3D4C"/>
    <w:rsid w:val="005D59A4"/>
    <w:rsid w:val="005E0510"/>
    <w:rsid w:val="005E2703"/>
    <w:rsid w:val="005E6A74"/>
    <w:rsid w:val="005F5B32"/>
    <w:rsid w:val="00601675"/>
    <w:rsid w:val="006024FA"/>
    <w:rsid w:val="00604CF3"/>
    <w:rsid w:val="0060500D"/>
    <w:rsid w:val="00617A19"/>
    <w:rsid w:val="00621FB5"/>
    <w:rsid w:val="006302D5"/>
    <w:rsid w:val="00633209"/>
    <w:rsid w:val="00634B53"/>
    <w:rsid w:val="00635AB6"/>
    <w:rsid w:val="00646820"/>
    <w:rsid w:val="00663DAE"/>
    <w:rsid w:val="006649EB"/>
    <w:rsid w:val="00671957"/>
    <w:rsid w:val="0068034E"/>
    <w:rsid w:val="0069375C"/>
    <w:rsid w:val="006A3D52"/>
    <w:rsid w:val="006B55D7"/>
    <w:rsid w:val="006C198A"/>
    <w:rsid w:val="006C1D50"/>
    <w:rsid w:val="006C48FD"/>
    <w:rsid w:val="006D2675"/>
    <w:rsid w:val="006D6EF5"/>
    <w:rsid w:val="006E5834"/>
    <w:rsid w:val="006F3F2E"/>
    <w:rsid w:val="0071371F"/>
    <w:rsid w:val="00730491"/>
    <w:rsid w:val="0074148C"/>
    <w:rsid w:val="007517EF"/>
    <w:rsid w:val="00764538"/>
    <w:rsid w:val="00772C16"/>
    <w:rsid w:val="007A7B64"/>
    <w:rsid w:val="007E24A5"/>
    <w:rsid w:val="007E75C3"/>
    <w:rsid w:val="007E78D1"/>
    <w:rsid w:val="007F00C4"/>
    <w:rsid w:val="00802E65"/>
    <w:rsid w:val="0081094B"/>
    <w:rsid w:val="00814E9B"/>
    <w:rsid w:val="00822E93"/>
    <w:rsid w:val="00830845"/>
    <w:rsid w:val="00834E04"/>
    <w:rsid w:val="00836698"/>
    <w:rsid w:val="0086021F"/>
    <w:rsid w:val="008603E9"/>
    <w:rsid w:val="00861D5E"/>
    <w:rsid w:val="00863F70"/>
    <w:rsid w:val="00866D95"/>
    <w:rsid w:val="0088344E"/>
    <w:rsid w:val="00890851"/>
    <w:rsid w:val="00895E59"/>
    <w:rsid w:val="008A3311"/>
    <w:rsid w:val="008A752F"/>
    <w:rsid w:val="008B660C"/>
    <w:rsid w:val="008B6D46"/>
    <w:rsid w:val="008C11A1"/>
    <w:rsid w:val="008C2E71"/>
    <w:rsid w:val="008C338E"/>
    <w:rsid w:val="008C35E3"/>
    <w:rsid w:val="008D23B4"/>
    <w:rsid w:val="008D2CC4"/>
    <w:rsid w:val="008E0E32"/>
    <w:rsid w:val="008F0131"/>
    <w:rsid w:val="0092251A"/>
    <w:rsid w:val="00926BBF"/>
    <w:rsid w:val="00934397"/>
    <w:rsid w:val="00942BE1"/>
    <w:rsid w:val="00944A8A"/>
    <w:rsid w:val="00946F26"/>
    <w:rsid w:val="00952E28"/>
    <w:rsid w:val="00953B10"/>
    <w:rsid w:val="0095407A"/>
    <w:rsid w:val="00955629"/>
    <w:rsid w:val="00960AF0"/>
    <w:rsid w:val="00972455"/>
    <w:rsid w:val="00973A37"/>
    <w:rsid w:val="009769B9"/>
    <w:rsid w:val="009769EF"/>
    <w:rsid w:val="00977B60"/>
    <w:rsid w:val="00977C98"/>
    <w:rsid w:val="009858BF"/>
    <w:rsid w:val="009938BE"/>
    <w:rsid w:val="009953F8"/>
    <w:rsid w:val="009A3064"/>
    <w:rsid w:val="009A5C7E"/>
    <w:rsid w:val="009A5DAB"/>
    <w:rsid w:val="009B017A"/>
    <w:rsid w:val="009B4B5C"/>
    <w:rsid w:val="009B6F21"/>
    <w:rsid w:val="009C042B"/>
    <w:rsid w:val="009C7802"/>
    <w:rsid w:val="009E37F0"/>
    <w:rsid w:val="009F06DB"/>
    <w:rsid w:val="009F3320"/>
    <w:rsid w:val="00A034D2"/>
    <w:rsid w:val="00A11824"/>
    <w:rsid w:val="00A1464F"/>
    <w:rsid w:val="00A20E11"/>
    <w:rsid w:val="00A544E8"/>
    <w:rsid w:val="00A614CB"/>
    <w:rsid w:val="00A67510"/>
    <w:rsid w:val="00A7098F"/>
    <w:rsid w:val="00A74199"/>
    <w:rsid w:val="00A74A32"/>
    <w:rsid w:val="00A75F56"/>
    <w:rsid w:val="00A83E31"/>
    <w:rsid w:val="00A871C6"/>
    <w:rsid w:val="00A87825"/>
    <w:rsid w:val="00A87F42"/>
    <w:rsid w:val="00A91888"/>
    <w:rsid w:val="00A92145"/>
    <w:rsid w:val="00AA0FE8"/>
    <w:rsid w:val="00AA7E21"/>
    <w:rsid w:val="00AB2C0D"/>
    <w:rsid w:val="00AB2D1F"/>
    <w:rsid w:val="00AB44C4"/>
    <w:rsid w:val="00AC1C1D"/>
    <w:rsid w:val="00AC549A"/>
    <w:rsid w:val="00AD260D"/>
    <w:rsid w:val="00AE2803"/>
    <w:rsid w:val="00AE440B"/>
    <w:rsid w:val="00AE6BF1"/>
    <w:rsid w:val="00AE6F4E"/>
    <w:rsid w:val="00AF6B78"/>
    <w:rsid w:val="00B1035E"/>
    <w:rsid w:val="00B15B82"/>
    <w:rsid w:val="00B26955"/>
    <w:rsid w:val="00B60D0C"/>
    <w:rsid w:val="00B60D37"/>
    <w:rsid w:val="00B672CB"/>
    <w:rsid w:val="00B90B92"/>
    <w:rsid w:val="00B93CCB"/>
    <w:rsid w:val="00B97D8B"/>
    <w:rsid w:val="00BA2C9C"/>
    <w:rsid w:val="00BA5C13"/>
    <w:rsid w:val="00BB001F"/>
    <w:rsid w:val="00BB53B8"/>
    <w:rsid w:val="00BB68B2"/>
    <w:rsid w:val="00BC18B7"/>
    <w:rsid w:val="00BC214C"/>
    <w:rsid w:val="00BC46C4"/>
    <w:rsid w:val="00BD26E2"/>
    <w:rsid w:val="00BE5862"/>
    <w:rsid w:val="00BF2639"/>
    <w:rsid w:val="00C010B5"/>
    <w:rsid w:val="00C15AF4"/>
    <w:rsid w:val="00C165AD"/>
    <w:rsid w:val="00C20768"/>
    <w:rsid w:val="00C34DF6"/>
    <w:rsid w:val="00C41869"/>
    <w:rsid w:val="00C4568D"/>
    <w:rsid w:val="00C472D2"/>
    <w:rsid w:val="00C6063C"/>
    <w:rsid w:val="00C62354"/>
    <w:rsid w:val="00C6239E"/>
    <w:rsid w:val="00C65C8F"/>
    <w:rsid w:val="00C67C31"/>
    <w:rsid w:val="00C71E7C"/>
    <w:rsid w:val="00C83A58"/>
    <w:rsid w:val="00C83F54"/>
    <w:rsid w:val="00C9041E"/>
    <w:rsid w:val="00C90DC1"/>
    <w:rsid w:val="00C90E68"/>
    <w:rsid w:val="00C94078"/>
    <w:rsid w:val="00CB2F66"/>
    <w:rsid w:val="00CB525D"/>
    <w:rsid w:val="00CB550E"/>
    <w:rsid w:val="00CB58D5"/>
    <w:rsid w:val="00CC17A8"/>
    <w:rsid w:val="00CC22C9"/>
    <w:rsid w:val="00CC72F9"/>
    <w:rsid w:val="00CD0C10"/>
    <w:rsid w:val="00CD6AC3"/>
    <w:rsid w:val="00CE3FDB"/>
    <w:rsid w:val="00CF12F5"/>
    <w:rsid w:val="00D05076"/>
    <w:rsid w:val="00D13E50"/>
    <w:rsid w:val="00D21639"/>
    <w:rsid w:val="00D217D9"/>
    <w:rsid w:val="00D23670"/>
    <w:rsid w:val="00D26E65"/>
    <w:rsid w:val="00D321F4"/>
    <w:rsid w:val="00D36E72"/>
    <w:rsid w:val="00D5510F"/>
    <w:rsid w:val="00D55B4B"/>
    <w:rsid w:val="00D66462"/>
    <w:rsid w:val="00D72531"/>
    <w:rsid w:val="00D862F2"/>
    <w:rsid w:val="00D867EC"/>
    <w:rsid w:val="00D90AF7"/>
    <w:rsid w:val="00DA1267"/>
    <w:rsid w:val="00DA484A"/>
    <w:rsid w:val="00DA7963"/>
    <w:rsid w:val="00DB24CF"/>
    <w:rsid w:val="00DB5E17"/>
    <w:rsid w:val="00DB5E9A"/>
    <w:rsid w:val="00DB78B6"/>
    <w:rsid w:val="00DD7C17"/>
    <w:rsid w:val="00DE5A4E"/>
    <w:rsid w:val="00E13101"/>
    <w:rsid w:val="00E27A5B"/>
    <w:rsid w:val="00E45856"/>
    <w:rsid w:val="00E617DA"/>
    <w:rsid w:val="00E6424A"/>
    <w:rsid w:val="00E73503"/>
    <w:rsid w:val="00E93305"/>
    <w:rsid w:val="00E97372"/>
    <w:rsid w:val="00EA4B82"/>
    <w:rsid w:val="00EC6863"/>
    <w:rsid w:val="00ED1DBF"/>
    <w:rsid w:val="00ED5131"/>
    <w:rsid w:val="00ED64DF"/>
    <w:rsid w:val="00EE7DB1"/>
    <w:rsid w:val="00EF6640"/>
    <w:rsid w:val="00F05B0D"/>
    <w:rsid w:val="00F43DC1"/>
    <w:rsid w:val="00F5642F"/>
    <w:rsid w:val="00F6071E"/>
    <w:rsid w:val="00F61083"/>
    <w:rsid w:val="00F6671D"/>
    <w:rsid w:val="00F71DA3"/>
    <w:rsid w:val="00F753C7"/>
    <w:rsid w:val="00F84B93"/>
    <w:rsid w:val="00FC6404"/>
    <w:rsid w:val="00FD0A22"/>
    <w:rsid w:val="00FD6396"/>
    <w:rsid w:val="00FE7136"/>
    <w:rsid w:val="00FF4C24"/>
    <w:rsid w:val="00FF5C4F"/>
    <w:rsid w:val="00FF5F85"/>
    <w:rsid w:val="1B8C74FA"/>
    <w:rsid w:val="202579E6"/>
    <w:rsid w:val="3808658C"/>
    <w:rsid w:val="3ADA028C"/>
    <w:rsid w:val="4E1F5365"/>
    <w:rsid w:val="658F03DB"/>
    <w:rsid w:val="7FAE0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6C198A"/>
    <w:pPr>
      <w:jc w:val="left"/>
    </w:pPr>
  </w:style>
  <w:style w:type="paragraph" w:styleId="a4">
    <w:name w:val="Balloon Text"/>
    <w:basedOn w:val="a"/>
    <w:link w:val="Char0"/>
    <w:uiPriority w:val="99"/>
    <w:semiHidden/>
    <w:unhideWhenUsed/>
    <w:qFormat/>
    <w:rsid w:val="006C198A"/>
    <w:rPr>
      <w:sz w:val="18"/>
      <w:szCs w:val="18"/>
    </w:rPr>
  </w:style>
  <w:style w:type="paragraph" w:styleId="a5">
    <w:name w:val="footer"/>
    <w:basedOn w:val="a"/>
    <w:link w:val="Char1"/>
    <w:uiPriority w:val="99"/>
    <w:unhideWhenUsed/>
    <w:qFormat/>
    <w:rsid w:val="006C198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C198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C198A"/>
    <w:rPr>
      <w:b/>
      <w:bCs/>
    </w:rPr>
  </w:style>
  <w:style w:type="table" w:styleId="a8">
    <w:name w:val="Table Grid"/>
    <w:basedOn w:val="a1"/>
    <w:uiPriority w:val="39"/>
    <w:qFormat/>
    <w:rsid w:val="006C1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6C198A"/>
    <w:rPr>
      <w:sz w:val="21"/>
      <w:szCs w:val="21"/>
    </w:rPr>
  </w:style>
  <w:style w:type="character" w:customStyle="1" w:styleId="Char2">
    <w:name w:val="页眉 Char"/>
    <w:basedOn w:val="a0"/>
    <w:link w:val="a6"/>
    <w:uiPriority w:val="99"/>
    <w:qFormat/>
    <w:rsid w:val="006C198A"/>
    <w:rPr>
      <w:sz w:val="18"/>
      <w:szCs w:val="18"/>
    </w:rPr>
  </w:style>
  <w:style w:type="character" w:customStyle="1" w:styleId="Char1">
    <w:name w:val="页脚 Char"/>
    <w:basedOn w:val="a0"/>
    <w:link w:val="a5"/>
    <w:uiPriority w:val="99"/>
    <w:qFormat/>
    <w:rsid w:val="006C198A"/>
    <w:rPr>
      <w:sz w:val="18"/>
      <w:szCs w:val="18"/>
    </w:rPr>
  </w:style>
  <w:style w:type="character" w:customStyle="1" w:styleId="Char">
    <w:name w:val="批注文字 Char"/>
    <w:basedOn w:val="a0"/>
    <w:link w:val="a3"/>
    <w:uiPriority w:val="99"/>
    <w:qFormat/>
    <w:rsid w:val="006C198A"/>
  </w:style>
  <w:style w:type="character" w:customStyle="1" w:styleId="Char3">
    <w:name w:val="批注主题 Char"/>
    <w:basedOn w:val="Char"/>
    <w:link w:val="a7"/>
    <w:uiPriority w:val="99"/>
    <w:semiHidden/>
    <w:qFormat/>
    <w:rsid w:val="006C198A"/>
    <w:rPr>
      <w:b/>
      <w:bCs/>
    </w:rPr>
  </w:style>
  <w:style w:type="character" w:customStyle="1" w:styleId="Char0">
    <w:name w:val="批注框文本 Char"/>
    <w:basedOn w:val="a0"/>
    <w:link w:val="a4"/>
    <w:uiPriority w:val="99"/>
    <w:semiHidden/>
    <w:qFormat/>
    <w:rsid w:val="006C19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2510</Characters>
  <Application>Microsoft Office Word</Application>
  <DocSecurity>4</DocSecurity>
  <Lines>20</Lines>
  <Paragraphs>5</Paragraphs>
  <ScaleCrop>false</ScaleCrop>
  <Company>P R C</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黄文逸</dc:creator>
  <cp:lastModifiedBy>ZHONGM</cp:lastModifiedBy>
  <cp:revision>2</cp:revision>
  <dcterms:created xsi:type="dcterms:W3CDTF">2022-05-23T16:02:00Z</dcterms:created>
  <dcterms:modified xsi:type="dcterms:W3CDTF">2022-05-23T16:02:00Z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196A1B8CD24A4B599989A53773E6216B</vt:lpwstr>
  </property>
</Properties>
</file>