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5D" w:rsidRPr="00577348" w:rsidRDefault="005A7AEB" w:rsidP="008669EF">
      <w:pPr>
        <w:pStyle w:val="a3"/>
        <w:snapToGrid w:val="0"/>
        <w:spacing w:before="0" w:beforeAutospacing="0" w:after="0" w:afterAutospacing="0" w:line="240" w:lineRule="auto"/>
        <w:ind w:firstLineChars="0" w:firstLine="0"/>
        <w:jc w:val="center"/>
        <w:rPr>
          <w:rFonts w:ascii="Times New Roman" w:eastAsia="楷体_GB2312" w:hAnsi="Times New Roman" w:cs="Times New Roman"/>
          <w:b/>
          <w:sz w:val="32"/>
        </w:rPr>
      </w:pPr>
      <w:r>
        <w:rPr>
          <w:rFonts w:ascii="Times New Roman" w:eastAsia="楷体_GB2312" w:hAnsi="Times New Roman" w:cs="Times New Roman" w:hint="eastAsia"/>
          <w:b/>
          <w:sz w:val="32"/>
        </w:rPr>
        <w:t>富国基金管理有限</w:t>
      </w:r>
      <w:r w:rsidR="00055197" w:rsidRPr="00577348">
        <w:rPr>
          <w:rFonts w:ascii="Times New Roman" w:eastAsia="楷体_GB2312" w:hAnsi="Times New Roman" w:cs="Times New Roman" w:hint="eastAsia"/>
          <w:b/>
          <w:sz w:val="32"/>
        </w:rPr>
        <w:t>公司</w:t>
      </w:r>
      <w:r w:rsidR="009C415D" w:rsidRPr="00577348">
        <w:rPr>
          <w:rFonts w:ascii="Times New Roman" w:eastAsia="楷体_GB2312" w:hAnsi="Times New Roman" w:cs="Times New Roman" w:hint="eastAsia"/>
          <w:b/>
          <w:sz w:val="32"/>
        </w:rPr>
        <w:t>关于</w:t>
      </w:r>
      <w:r>
        <w:rPr>
          <w:rFonts w:ascii="Times New Roman" w:eastAsia="楷体_GB2312" w:hAnsi="Times New Roman" w:cs="Times New Roman" w:hint="eastAsia"/>
          <w:b/>
          <w:sz w:val="32"/>
        </w:rPr>
        <w:t>富国首创水务封闭式基础设施证券投资</w:t>
      </w:r>
      <w:r w:rsidR="009C415D" w:rsidRPr="00577348">
        <w:rPr>
          <w:rFonts w:ascii="Times New Roman" w:eastAsia="楷体_GB2312" w:hAnsi="Times New Roman" w:cs="Times New Roman" w:hint="eastAsia"/>
          <w:b/>
          <w:sz w:val="32"/>
        </w:rPr>
        <w:t>基金</w:t>
      </w:r>
      <w:r w:rsidR="008124D8" w:rsidRPr="00DB5400">
        <w:rPr>
          <w:rFonts w:ascii="楷体" w:eastAsia="楷体" w:hAnsi="楷体" w:hint="eastAsia"/>
          <w:b/>
          <w:sz w:val="32"/>
          <w:szCs w:val="32"/>
        </w:rPr>
        <w:t>份额解除限售的提示性公告</w:t>
      </w:r>
    </w:p>
    <w:p w:rsidR="009C415D" w:rsidRPr="00577348" w:rsidRDefault="009C415D" w:rsidP="008669EF">
      <w:pPr>
        <w:pStyle w:val="a3"/>
        <w:snapToGrid w:val="0"/>
        <w:spacing w:before="0" w:beforeAutospacing="0" w:after="0" w:afterAutospacing="0" w:line="240" w:lineRule="auto"/>
        <w:ind w:firstLine="482"/>
        <w:jc w:val="center"/>
        <w:rPr>
          <w:rFonts w:ascii="Times New Roman" w:eastAsia="楷体_GB2312" w:hAnsi="Times New Roman" w:cs="Times New Roman"/>
          <w:b/>
        </w:rPr>
      </w:pPr>
    </w:p>
    <w:p w:rsidR="009C415D" w:rsidRPr="00577348" w:rsidRDefault="009C415D" w:rsidP="008669EF">
      <w:pPr>
        <w:pStyle w:val="a3"/>
        <w:snapToGrid w:val="0"/>
        <w:spacing w:before="0" w:beforeAutospacing="0" w:after="0" w:afterAutospacing="0" w:line="240" w:lineRule="auto"/>
        <w:ind w:firstLine="482"/>
        <w:jc w:val="both"/>
        <w:rPr>
          <w:rFonts w:ascii="Times New Roman" w:eastAsia="楷体_GB2312" w:hAnsi="Times New Roman" w:cs="Times New Roman"/>
          <w:b/>
        </w:rPr>
      </w:pPr>
      <w:r w:rsidRPr="00577348">
        <w:rPr>
          <w:rFonts w:ascii="Times New Roman" w:eastAsia="楷体_GB2312" w:hAnsi="Times New Roman" w:cs="Times New Roman" w:hint="eastAsia"/>
          <w:b/>
        </w:rPr>
        <w:t>一、公募</w:t>
      </w:r>
      <w:r w:rsidRPr="00577348">
        <w:rPr>
          <w:rFonts w:ascii="Times New Roman" w:eastAsia="楷体_GB2312" w:hAnsi="Times New Roman" w:cs="Times New Roman" w:hint="eastAsia"/>
          <w:b/>
        </w:rPr>
        <w:t>REITs</w:t>
      </w:r>
      <w:r w:rsidRPr="00577348">
        <w:rPr>
          <w:rFonts w:ascii="Times New Roman" w:eastAsia="楷体_GB2312" w:hAnsi="Times New Roman" w:cs="Times New Roman" w:hint="eastAsia"/>
          <w:b/>
        </w:rPr>
        <w:t>基本信息</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6163"/>
      </w:tblGrid>
      <w:tr w:rsidR="00055197" w:rsidRPr="00577348" w:rsidTr="00653C9B">
        <w:trPr>
          <w:trHeight w:val="349"/>
        </w:trPr>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公募</w:t>
            </w:r>
            <w:r w:rsidRPr="00577348">
              <w:rPr>
                <w:rFonts w:ascii="Times New Roman" w:eastAsia="楷体_GB2312" w:hAnsi="Times New Roman" w:cs="Times New Roman" w:hint="eastAsia"/>
              </w:rPr>
              <w:t>REITs</w:t>
            </w:r>
            <w:r w:rsidRPr="00577348">
              <w:rPr>
                <w:rFonts w:ascii="Times New Roman" w:eastAsia="楷体_GB2312" w:hAnsi="Times New Roman" w:cs="Times New Roman" w:hint="eastAsia"/>
              </w:rPr>
              <w:t>名称</w:t>
            </w:r>
          </w:p>
        </w:tc>
        <w:tc>
          <w:tcPr>
            <w:tcW w:w="6163" w:type="dxa"/>
          </w:tcPr>
          <w:p w:rsidR="00055197" w:rsidRPr="00577348" w:rsidRDefault="005A7AEB"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hint="eastAsia"/>
              </w:rPr>
              <w:t>富国首创水务封闭式基础设施证券投资基金</w:t>
            </w:r>
          </w:p>
        </w:tc>
      </w:tr>
      <w:tr w:rsidR="00055197" w:rsidRPr="00577348" w:rsidTr="00653C9B">
        <w:trPr>
          <w:trHeight w:val="299"/>
        </w:trPr>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公募</w:t>
            </w:r>
            <w:r w:rsidRPr="00577348">
              <w:rPr>
                <w:rFonts w:ascii="Times New Roman" w:eastAsia="楷体_GB2312" w:hAnsi="Times New Roman" w:cs="Times New Roman" w:hint="eastAsia"/>
              </w:rPr>
              <w:t>REITs</w:t>
            </w:r>
            <w:r w:rsidRPr="00577348">
              <w:rPr>
                <w:rFonts w:ascii="Times New Roman" w:eastAsia="楷体_GB2312" w:hAnsi="Times New Roman" w:cs="Times New Roman" w:hint="eastAsia"/>
              </w:rPr>
              <w:t>简称</w:t>
            </w:r>
          </w:p>
        </w:tc>
        <w:tc>
          <w:tcPr>
            <w:tcW w:w="6163" w:type="dxa"/>
          </w:tcPr>
          <w:p w:rsidR="00055197" w:rsidRDefault="005A7AEB"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hint="eastAsia"/>
              </w:rPr>
              <w:t>富国首创水务</w:t>
            </w:r>
            <w:r w:rsidRPr="005A7AEB">
              <w:rPr>
                <w:rFonts w:ascii="Times New Roman" w:eastAsia="楷体_GB2312" w:hAnsi="Times New Roman" w:cs="Times New Roman" w:hint="eastAsia"/>
              </w:rPr>
              <w:t>REIT</w:t>
            </w:r>
          </w:p>
        </w:tc>
      </w:tr>
      <w:tr w:rsidR="00055197" w:rsidRPr="00577348" w:rsidTr="00653C9B">
        <w:trPr>
          <w:trHeight w:val="391"/>
        </w:trPr>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公募</w:t>
            </w:r>
            <w:r w:rsidRPr="00577348">
              <w:rPr>
                <w:rFonts w:ascii="Times New Roman" w:eastAsia="楷体_GB2312" w:hAnsi="Times New Roman" w:cs="Times New Roman" w:hint="eastAsia"/>
              </w:rPr>
              <w:t>REITs</w:t>
            </w:r>
            <w:r w:rsidRPr="00577348">
              <w:rPr>
                <w:rFonts w:ascii="Times New Roman" w:eastAsia="楷体_GB2312" w:hAnsi="Times New Roman" w:cs="Times New Roman" w:hint="eastAsia"/>
              </w:rPr>
              <w:t>代码</w:t>
            </w:r>
          </w:p>
        </w:tc>
        <w:tc>
          <w:tcPr>
            <w:tcW w:w="6163" w:type="dxa"/>
            <w:vAlign w:val="center"/>
          </w:tcPr>
          <w:p w:rsidR="00055197" w:rsidRDefault="005A7AEB" w:rsidP="00F8785C">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rPr>
              <w:t>508006</w:t>
            </w:r>
          </w:p>
        </w:tc>
      </w:tr>
      <w:tr w:rsidR="00055197" w:rsidRPr="00577348" w:rsidTr="00653C9B">
        <w:trPr>
          <w:trHeight w:val="391"/>
        </w:trPr>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公募</w:t>
            </w:r>
            <w:r w:rsidRPr="00577348">
              <w:rPr>
                <w:rFonts w:ascii="Times New Roman" w:eastAsia="楷体_GB2312" w:hAnsi="Times New Roman" w:cs="Times New Roman" w:hint="eastAsia"/>
              </w:rPr>
              <w:t>REITs</w:t>
            </w:r>
            <w:r w:rsidRPr="00577348">
              <w:rPr>
                <w:rFonts w:ascii="Times New Roman" w:eastAsia="楷体_GB2312" w:hAnsi="Times New Roman" w:cs="Times New Roman" w:hint="eastAsia"/>
              </w:rPr>
              <w:t>合同生效日</w:t>
            </w:r>
          </w:p>
        </w:tc>
        <w:tc>
          <w:tcPr>
            <w:tcW w:w="6163" w:type="dxa"/>
          </w:tcPr>
          <w:p w:rsidR="00055197" w:rsidRPr="00577348" w:rsidRDefault="005A7AEB"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hint="eastAsia"/>
              </w:rPr>
              <w:t>2021</w:t>
            </w:r>
            <w:r w:rsidRPr="005A7AEB">
              <w:rPr>
                <w:rFonts w:ascii="Times New Roman" w:eastAsia="楷体_GB2312" w:hAnsi="Times New Roman" w:cs="Times New Roman" w:hint="eastAsia"/>
              </w:rPr>
              <w:t>年</w:t>
            </w:r>
            <w:r w:rsidRPr="005A7AEB">
              <w:rPr>
                <w:rFonts w:ascii="Times New Roman" w:eastAsia="楷体_GB2312" w:hAnsi="Times New Roman" w:cs="Times New Roman" w:hint="eastAsia"/>
              </w:rPr>
              <w:t>6</w:t>
            </w:r>
            <w:r w:rsidRPr="005A7AEB">
              <w:rPr>
                <w:rFonts w:ascii="Times New Roman" w:eastAsia="楷体_GB2312" w:hAnsi="Times New Roman" w:cs="Times New Roman" w:hint="eastAsia"/>
              </w:rPr>
              <w:t>月</w:t>
            </w:r>
            <w:r w:rsidRPr="005A7AEB">
              <w:rPr>
                <w:rFonts w:ascii="Times New Roman" w:eastAsia="楷体_GB2312" w:hAnsi="Times New Roman" w:cs="Times New Roman" w:hint="eastAsia"/>
              </w:rPr>
              <w:t>7</w:t>
            </w:r>
            <w:r w:rsidRPr="005A7AEB">
              <w:rPr>
                <w:rFonts w:ascii="Times New Roman" w:eastAsia="楷体_GB2312" w:hAnsi="Times New Roman" w:cs="Times New Roman" w:hint="eastAsia"/>
              </w:rPr>
              <w:t>日</w:t>
            </w:r>
          </w:p>
        </w:tc>
      </w:tr>
      <w:tr w:rsidR="00055197" w:rsidRPr="00577348" w:rsidTr="00653C9B">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基金管理人名称</w:t>
            </w:r>
          </w:p>
        </w:tc>
        <w:tc>
          <w:tcPr>
            <w:tcW w:w="6163" w:type="dxa"/>
          </w:tcPr>
          <w:p w:rsidR="00055197" w:rsidRDefault="005A7AEB"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hint="eastAsia"/>
              </w:rPr>
              <w:t>富国基金管理有限公司</w:t>
            </w:r>
          </w:p>
        </w:tc>
      </w:tr>
      <w:tr w:rsidR="00055197" w:rsidRPr="00577348" w:rsidTr="00653C9B">
        <w:trPr>
          <w:trHeight w:val="418"/>
        </w:trPr>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基金托管人名称</w:t>
            </w:r>
          </w:p>
        </w:tc>
        <w:tc>
          <w:tcPr>
            <w:tcW w:w="6163" w:type="dxa"/>
          </w:tcPr>
          <w:p w:rsidR="00055197" w:rsidRDefault="005A7AEB"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hint="eastAsia"/>
              </w:rPr>
              <w:t>招商银行股份有限公司</w:t>
            </w:r>
          </w:p>
        </w:tc>
      </w:tr>
      <w:tr w:rsidR="00055197" w:rsidRPr="00577348" w:rsidTr="00653C9B">
        <w:trPr>
          <w:trHeight w:val="300"/>
        </w:trPr>
        <w:tc>
          <w:tcPr>
            <w:tcW w:w="2087" w:type="dxa"/>
            <w:vAlign w:val="center"/>
          </w:tcPr>
          <w:p w:rsidR="00055197" w:rsidRPr="00577348" w:rsidRDefault="00055197"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77348">
              <w:rPr>
                <w:rFonts w:ascii="Times New Roman" w:eastAsia="楷体_GB2312" w:hAnsi="Times New Roman" w:cs="Times New Roman" w:hint="eastAsia"/>
              </w:rPr>
              <w:t>公告依据</w:t>
            </w:r>
          </w:p>
        </w:tc>
        <w:tc>
          <w:tcPr>
            <w:tcW w:w="6163" w:type="dxa"/>
          </w:tcPr>
          <w:p w:rsidR="00055197" w:rsidRPr="00252BF7" w:rsidRDefault="005A7AEB" w:rsidP="00055197">
            <w:pPr>
              <w:pStyle w:val="a3"/>
              <w:snapToGrid w:val="0"/>
              <w:spacing w:before="0" w:beforeAutospacing="0" w:after="0" w:afterAutospacing="0" w:line="240" w:lineRule="auto"/>
              <w:ind w:firstLineChars="0" w:firstLine="0"/>
              <w:jc w:val="both"/>
              <w:rPr>
                <w:rFonts w:ascii="Times New Roman" w:eastAsia="楷体_GB2312" w:hAnsi="Times New Roman" w:cs="Times New Roman"/>
              </w:rPr>
            </w:pPr>
            <w:r w:rsidRPr="005A7AEB">
              <w:rPr>
                <w:rFonts w:ascii="Times New Roman" w:eastAsia="楷体_GB2312" w:hAnsi="Times New Roman" w:cs="Times New Roman" w:hint="eastAsia"/>
              </w:rPr>
              <w:t>《中华人民共和国证券投资基金法》及配套法规、《公开募集基础设施证券投资基金指引（试行）》、《上海证券交易所公开募集基础设施证券投资基金（</w:t>
            </w:r>
            <w:r w:rsidRPr="005A7AEB">
              <w:rPr>
                <w:rFonts w:ascii="Times New Roman" w:eastAsia="楷体_GB2312" w:hAnsi="Times New Roman" w:cs="Times New Roman" w:hint="eastAsia"/>
              </w:rPr>
              <w:t>REITs</w:t>
            </w:r>
            <w:r w:rsidRPr="005A7AEB">
              <w:rPr>
                <w:rFonts w:ascii="Times New Roman" w:eastAsia="楷体_GB2312" w:hAnsi="Times New Roman" w:cs="Times New Roman" w:hint="eastAsia"/>
              </w:rPr>
              <w:t>）业务办法（试行）》、《富国首创水务封闭式基础设施证券投资基金基金合同》、《富国首创水务封闭式基础设施证券投资基金招募说明书》</w:t>
            </w:r>
            <w:r w:rsidR="003A00DA">
              <w:rPr>
                <w:rFonts w:ascii="Times New Roman" w:eastAsia="楷体_GB2312" w:hAnsi="Times New Roman" w:cs="Times New Roman" w:hint="eastAsia"/>
              </w:rPr>
              <w:t>、《</w:t>
            </w:r>
            <w:r w:rsidR="003A00DA" w:rsidRPr="003A00DA">
              <w:rPr>
                <w:rFonts w:ascii="楷体" w:eastAsia="楷体" w:hAnsi="楷体" w:hint="eastAsia"/>
              </w:rPr>
              <w:t>富国首创水务封闭式基础设施证券投资基金</w:t>
            </w:r>
            <w:r w:rsidR="003A00DA">
              <w:rPr>
                <w:rFonts w:ascii="楷体" w:eastAsia="楷体" w:hAnsi="楷体" w:hint="eastAsia"/>
              </w:rPr>
              <w:t>2</w:t>
            </w:r>
            <w:r w:rsidR="003A00DA">
              <w:rPr>
                <w:rFonts w:ascii="楷体" w:eastAsia="楷体" w:hAnsi="楷体"/>
              </w:rPr>
              <w:t>021</w:t>
            </w:r>
            <w:r w:rsidR="003A00DA" w:rsidRPr="003A00DA">
              <w:rPr>
                <w:rFonts w:ascii="楷体" w:eastAsia="楷体" w:hAnsi="楷体" w:hint="eastAsia"/>
              </w:rPr>
              <w:t>年年度报告</w:t>
            </w:r>
            <w:r w:rsidR="003A00DA">
              <w:rPr>
                <w:rFonts w:ascii="楷体" w:eastAsia="楷体" w:hAnsi="楷体" w:hint="eastAsia"/>
              </w:rPr>
              <w:t>》</w:t>
            </w:r>
          </w:p>
        </w:tc>
      </w:tr>
    </w:tbl>
    <w:p w:rsidR="00474EB3" w:rsidRPr="00F8785C" w:rsidRDefault="009C415D"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二、</w:t>
      </w:r>
      <w:r w:rsidR="000739E1" w:rsidRPr="00F8785C">
        <w:rPr>
          <w:rFonts w:ascii="楷体" w:eastAsia="楷体" w:hAnsi="楷体" w:hint="eastAsia"/>
          <w:b/>
          <w:color w:val="000000"/>
          <w:sz w:val="24"/>
          <w:szCs w:val="24"/>
        </w:rPr>
        <w:t>解除</w:t>
      </w:r>
      <w:r w:rsidR="008124D8" w:rsidRPr="00F8785C">
        <w:rPr>
          <w:rFonts w:ascii="楷体" w:eastAsia="楷体" w:hAnsi="楷体" w:hint="eastAsia"/>
          <w:b/>
          <w:color w:val="000000"/>
          <w:sz w:val="24"/>
          <w:szCs w:val="24"/>
        </w:rPr>
        <w:t>限售份额基本情况</w:t>
      </w:r>
    </w:p>
    <w:p w:rsidR="000739E1" w:rsidRPr="00F8785C" w:rsidRDefault="000739E1"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（一）公募REITs场内份额解除限售</w:t>
      </w:r>
    </w:p>
    <w:p w:rsidR="000739E1" w:rsidRPr="00F8785C" w:rsidRDefault="008669EF"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1</w:t>
      </w:r>
      <w:r w:rsidRPr="00F8785C">
        <w:rPr>
          <w:rFonts w:ascii="楷体" w:eastAsia="楷体" w:hAnsi="楷体"/>
          <w:b/>
          <w:color w:val="000000"/>
          <w:sz w:val="24"/>
          <w:szCs w:val="24"/>
        </w:rPr>
        <w:t>.</w:t>
      </w:r>
      <w:r w:rsidR="000739E1" w:rsidRPr="00F8785C">
        <w:rPr>
          <w:rFonts w:ascii="楷体" w:eastAsia="楷体" w:hAnsi="楷体" w:hint="eastAsia"/>
          <w:b/>
          <w:color w:val="000000"/>
          <w:sz w:val="24"/>
          <w:szCs w:val="24"/>
        </w:rPr>
        <w:t>本次解除限售的份额情况：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39"/>
        <w:gridCol w:w="2552"/>
        <w:gridCol w:w="2268"/>
        <w:gridCol w:w="1588"/>
      </w:tblGrid>
      <w:tr w:rsidR="000739E1" w:rsidRPr="00D53425" w:rsidTr="00F8785C">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序号</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证券账户名称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限售份额（份）</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限售类型</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限售期（月）</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t>1</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三峡资本控股有限责任公司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42,500,000.00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t>2</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北京首钢基金有限公司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25,000,000.00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t>3</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光大证券资管－光大银行－光证资管诚享7号集合资产管理计划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15,000,000.00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lastRenderedPageBreak/>
              <w:t>4</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中保投资有限责任公司－中国保险投资基金（有限合伙）</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6,000,000.00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t>5</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中国银河证券股份有限公司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4,000,000.00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t>6</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中国中金财富证券有限公司</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2,500,000.00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474EB3"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color w:val="000000"/>
                <w:sz w:val="24"/>
                <w:szCs w:val="24"/>
              </w:rPr>
              <w:t>7</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ascii="楷体" w:eastAsia="楷体" w:hAnsi="楷体" w:cs="宋体"/>
                <w:color w:val="000000"/>
                <w:sz w:val="24"/>
                <w:szCs w:val="24"/>
              </w:rPr>
            </w:pPr>
            <w:r w:rsidRPr="005A7AEB">
              <w:rPr>
                <w:rFonts w:ascii="楷体" w:eastAsia="楷体" w:hAnsi="楷体" w:hint="eastAsia"/>
                <w:color w:val="000000"/>
                <w:sz w:val="24"/>
                <w:szCs w:val="24"/>
              </w:rPr>
              <w:t>招商财富资管－招商银行－招商财富－招银基础设施1号集合资产管理计划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2,500,000.00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bl>
    <w:p w:rsidR="008669EF" w:rsidRDefault="008669EF" w:rsidP="008669EF">
      <w:pPr>
        <w:pStyle w:val="a3"/>
        <w:snapToGrid w:val="0"/>
        <w:spacing w:before="0" w:beforeAutospacing="0" w:after="0" w:afterAutospacing="0" w:line="240" w:lineRule="auto"/>
        <w:ind w:firstLine="480"/>
        <w:jc w:val="both"/>
        <w:rPr>
          <w:rFonts w:ascii="Times New Roman" w:eastAsia="楷体_GB2312" w:hAnsi="Times New Roman" w:cs="Times New Roman"/>
        </w:rPr>
      </w:pPr>
      <w:r w:rsidRPr="00616D31">
        <w:rPr>
          <w:rFonts w:ascii="Times New Roman" w:eastAsia="楷体_GB2312" w:hAnsi="Times New Roman" w:cs="Times New Roman" w:hint="eastAsia"/>
        </w:rPr>
        <w:t>注：</w:t>
      </w:r>
      <w:r w:rsidRPr="00055197">
        <w:rPr>
          <w:rFonts w:ascii="Times New Roman" w:eastAsia="楷体_GB2312" w:hAnsi="Times New Roman" w:cs="Times New Roman" w:hint="eastAsia"/>
        </w:rPr>
        <w:t>上述限售份额自</w:t>
      </w:r>
      <w:r w:rsidRPr="00055197">
        <w:rPr>
          <w:rFonts w:ascii="Times New Roman" w:eastAsia="楷体_GB2312" w:hAnsi="Times New Roman" w:cs="Times New Roman" w:hint="eastAsia"/>
        </w:rPr>
        <w:t>2022</w:t>
      </w:r>
      <w:r w:rsidRPr="00055197">
        <w:rPr>
          <w:rFonts w:ascii="Times New Roman" w:eastAsia="楷体_GB2312" w:hAnsi="Times New Roman" w:cs="Times New Roman" w:hint="eastAsia"/>
        </w:rPr>
        <w:t>年</w:t>
      </w:r>
      <w:r w:rsidRPr="00055197">
        <w:rPr>
          <w:rFonts w:ascii="Times New Roman" w:eastAsia="楷体_GB2312" w:hAnsi="Times New Roman" w:cs="Times New Roman" w:hint="eastAsia"/>
        </w:rPr>
        <w:t>6</w:t>
      </w:r>
      <w:r w:rsidRPr="00055197">
        <w:rPr>
          <w:rFonts w:ascii="Times New Roman" w:eastAsia="楷体_GB2312" w:hAnsi="Times New Roman" w:cs="Times New Roman" w:hint="eastAsia"/>
        </w:rPr>
        <w:t>月</w:t>
      </w:r>
      <w:r w:rsidRPr="00055197">
        <w:rPr>
          <w:rFonts w:ascii="Times New Roman" w:eastAsia="楷体_GB2312" w:hAnsi="Times New Roman" w:cs="Times New Roman" w:hint="eastAsia"/>
        </w:rPr>
        <w:t>21</w:t>
      </w:r>
      <w:r w:rsidRPr="00055197">
        <w:rPr>
          <w:rFonts w:ascii="Times New Roman" w:eastAsia="楷体_GB2312" w:hAnsi="Times New Roman" w:cs="Times New Roman" w:hint="eastAsia"/>
        </w:rPr>
        <w:t>日起满足解除限售条件。</w:t>
      </w:r>
    </w:p>
    <w:p w:rsidR="00F8785C" w:rsidRDefault="00F8785C" w:rsidP="008669EF">
      <w:pPr>
        <w:pStyle w:val="a3"/>
        <w:snapToGrid w:val="0"/>
        <w:spacing w:before="0" w:beforeAutospacing="0" w:after="0" w:afterAutospacing="0" w:line="240" w:lineRule="auto"/>
        <w:ind w:firstLine="480"/>
        <w:jc w:val="both"/>
        <w:rPr>
          <w:rFonts w:ascii="Times New Roman" w:eastAsia="楷体_GB2312" w:hAnsi="Times New Roman" w:cs="Times New Roman"/>
        </w:rPr>
      </w:pPr>
    </w:p>
    <w:p w:rsidR="000739E1" w:rsidRPr="00F8785C" w:rsidRDefault="008669EF"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2</w:t>
      </w:r>
      <w:r w:rsidRPr="00F8785C">
        <w:rPr>
          <w:rFonts w:ascii="楷体" w:eastAsia="楷体" w:hAnsi="楷体"/>
          <w:b/>
          <w:color w:val="000000"/>
          <w:sz w:val="24"/>
          <w:szCs w:val="24"/>
        </w:rPr>
        <w:t>.</w:t>
      </w:r>
      <w:r w:rsidR="000739E1" w:rsidRPr="00F8785C">
        <w:rPr>
          <w:rFonts w:ascii="楷体" w:eastAsia="楷体" w:hAnsi="楷体" w:hint="eastAsia"/>
          <w:b/>
          <w:color w:val="000000"/>
          <w:sz w:val="24"/>
          <w:szCs w:val="24"/>
        </w:rPr>
        <w:t>本次解除限售后剩余的限售份额情况：</w:t>
      </w: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1"/>
        <w:gridCol w:w="2551"/>
        <w:gridCol w:w="2269"/>
        <w:gridCol w:w="1842"/>
      </w:tblGrid>
      <w:tr w:rsidR="000739E1" w:rsidRPr="00AE6A89" w:rsidTr="00F8785C">
        <w:trPr>
          <w:trHeight w:val="268"/>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rPr>
                <w:rFonts w:ascii="楷体" w:eastAsia="楷体" w:hAnsi="楷体"/>
                <w:b/>
                <w:sz w:val="24"/>
                <w:szCs w:val="24"/>
              </w:rPr>
            </w:pPr>
            <w:r w:rsidRPr="000245F6">
              <w:rPr>
                <w:rFonts w:ascii="楷体" w:eastAsia="楷体" w:hAnsi="楷体" w:hint="eastAsia"/>
                <w:b/>
                <w:sz w:val="24"/>
                <w:szCs w:val="24"/>
              </w:rPr>
              <w:t>序号</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证券账户名称</w:t>
            </w:r>
          </w:p>
        </w:tc>
        <w:tc>
          <w:tcPr>
            <w:tcW w:w="13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9B2F12" w:rsidP="00055197">
            <w:pPr>
              <w:snapToGrid w:val="0"/>
              <w:jc w:val="center"/>
              <w:rPr>
                <w:rFonts w:ascii="楷体" w:eastAsia="楷体" w:hAnsi="楷体"/>
                <w:b/>
                <w:sz w:val="24"/>
                <w:szCs w:val="24"/>
              </w:rPr>
            </w:pPr>
            <w:r w:rsidRPr="000245F6">
              <w:rPr>
                <w:rFonts w:ascii="楷体" w:eastAsia="楷体" w:hAnsi="楷体" w:hint="eastAsia"/>
                <w:b/>
                <w:sz w:val="24"/>
                <w:szCs w:val="24"/>
              </w:rPr>
              <w:t>限售份额</w:t>
            </w:r>
            <w:r w:rsidR="000739E1" w:rsidRPr="000245F6">
              <w:rPr>
                <w:rFonts w:ascii="楷体" w:eastAsia="楷体" w:hAnsi="楷体" w:hint="eastAsia"/>
                <w:b/>
                <w:sz w:val="24"/>
                <w:szCs w:val="24"/>
              </w:rPr>
              <w:t>（份）</w:t>
            </w:r>
          </w:p>
        </w:tc>
        <w:tc>
          <w:tcPr>
            <w:tcW w:w="1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9E1" w:rsidRPr="000245F6" w:rsidRDefault="000739E1" w:rsidP="00055197">
            <w:pPr>
              <w:snapToGrid w:val="0"/>
              <w:jc w:val="center"/>
              <w:rPr>
                <w:rFonts w:ascii="楷体" w:eastAsia="楷体" w:hAnsi="楷体"/>
                <w:b/>
                <w:sz w:val="24"/>
                <w:szCs w:val="24"/>
              </w:rPr>
            </w:pPr>
            <w:r w:rsidRPr="000245F6">
              <w:rPr>
                <w:rFonts w:ascii="楷体" w:eastAsia="楷体" w:hAnsi="楷体" w:hint="eastAsia"/>
                <w:b/>
                <w:sz w:val="24"/>
                <w:szCs w:val="24"/>
              </w:rPr>
              <w:t>限售类型</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3FD5" w:rsidRDefault="000739E1" w:rsidP="00444095">
            <w:pPr>
              <w:snapToGrid w:val="0"/>
              <w:jc w:val="center"/>
              <w:rPr>
                <w:rFonts w:ascii="楷体" w:eastAsia="楷体" w:hAnsi="楷体"/>
                <w:b/>
                <w:sz w:val="24"/>
                <w:szCs w:val="24"/>
              </w:rPr>
            </w:pPr>
            <w:r w:rsidRPr="000245F6">
              <w:rPr>
                <w:rFonts w:ascii="楷体" w:eastAsia="楷体" w:hAnsi="楷体" w:hint="eastAsia"/>
                <w:b/>
                <w:sz w:val="24"/>
                <w:szCs w:val="24"/>
              </w:rPr>
              <w:t>限售期</w:t>
            </w:r>
          </w:p>
          <w:p w:rsidR="000739E1" w:rsidRPr="000245F6" w:rsidRDefault="000739E1" w:rsidP="00444095">
            <w:pPr>
              <w:snapToGrid w:val="0"/>
              <w:jc w:val="center"/>
              <w:rPr>
                <w:rFonts w:ascii="楷体" w:eastAsia="楷体" w:hAnsi="楷体"/>
                <w:b/>
                <w:sz w:val="24"/>
                <w:szCs w:val="24"/>
              </w:rPr>
            </w:pPr>
            <w:r w:rsidRPr="000245F6">
              <w:rPr>
                <w:rFonts w:ascii="楷体" w:eastAsia="楷体" w:hAnsi="楷体" w:hint="eastAsia"/>
                <w:b/>
                <w:sz w:val="24"/>
                <w:szCs w:val="24"/>
              </w:rPr>
              <w:t>（月）</w:t>
            </w:r>
          </w:p>
        </w:tc>
      </w:tr>
      <w:tr w:rsidR="005A7AEB" w:rsidRPr="000739E1" w:rsidTr="00F8785C">
        <w:trPr>
          <w:trHeight w:val="331"/>
        </w:trPr>
        <w:tc>
          <w:tcPr>
            <w:tcW w:w="376" w:type="pct"/>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1</w:t>
            </w:r>
          </w:p>
        </w:tc>
        <w:tc>
          <w:tcPr>
            <w:tcW w:w="1156" w:type="pct"/>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北京首创生态环保集团股份有限公司</w:t>
            </w:r>
          </w:p>
        </w:tc>
        <w:tc>
          <w:tcPr>
            <w:tcW w:w="1328" w:type="pct"/>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rPr>
                <w:rFonts w:eastAsia="楷体_GB2312"/>
                <w:color w:val="000000"/>
                <w:sz w:val="24"/>
                <w:szCs w:val="24"/>
              </w:rPr>
            </w:pPr>
            <w:r w:rsidRPr="005A7AEB">
              <w:rPr>
                <w:rFonts w:eastAsia="楷体_GB2312" w:hint="eastAsia"/>
                <w:color w:val="000000"/>
                <w:sz w:val="24"/>
                <w:szCs w:val="24"/>
              </w:rPr>
              <w:t xml:space="preserve">  255,000,000.00 </w:t>
            </w:r>
          </w:p>
        </w:tc>
        <w:tc>
          <w:tcPr>
            <w:tcW w:w="1181" w:type="pct"/>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rPr>
                <w:rFonts w:ascii="楷体" w:eastAsia="楷体" w:hAnsi="楷体"/>
                <w:sz w:val="24"/>
                <w:szCs w:val="24"/>
              </w:rPr>
            </w:pPr>
            <w:r w:rsidRPr="005A7AEB">
              <w:rPr>
                <w:rFonts w:ascii="楷体" w:eastAsia="楷体" w:hAnsi="楷体" w:hint="eastAsia"/>
                <w:color w:val="000000"/>
                <w:sz w:val="24"/>
                <w:szCs w:val="24"/>
              </w:rPr>
              <w:t>原始权益人及其同一控制下关联方战略配售限售</w:t>
            </w:r>
          </w:p>
        </w:tc>
        <w:tc>
          <w:tcPr>
            <w:tcW w:w="959" w:type="pct"/>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ascii="楷体" w:eastAsia="楷体" w:hAnsi="楷体"/>
                <w:sz w:val="24"/>
                <w:szCs w:val="24"/>
              </w:rPr>
            </w:pPr>
            <w:r w:rsidRPr="005A7AEB">
              <w:rPr>
                <w:rFonts w:ascii="楷体" w:eastAsia="楷体" w:hAnsi="楷体" w:hint="eastAsia"/>
                <w:color w:val="000000"/>
                <w:sz w:val="24"/>
                <w:szCs w:val="24"/>
              </w:rPr>
              <w:t>与深圳基础设施项目和合肥基础设施项目的特许经营权期限相同（以届时存续的前述基础设施项目的特许经营权到期日孰晚为准）</w:t>
            </w:r>
          </w:p>
        </w:tc>
      </w:tr>
    </w:tbl>
    <w:p w:rsidR="000739E1" w:rsidRDefault="000739E1" w:rsidP="008669EF">
      <w:pPr>
        <w:pStyle w:val="a3"/>
        <w:snapToGrid w:val="0"/>
        <w:spacing w:before="0" w:beforeAutospacing="0" w:after="0" w:afterAutospacing="0" w:line="240" w:lineRule="auto"/>
        <w:ind w:firstLine="480"/>
        <w:jc w:val="both"/>
        <w:rPr>
          <w:rFonts w:ascii="Times New Roman" w:eastAsia="楷体_GB2312" w:hAnsi="Times New Roman" w:cs="Times New Roman"/>
        </w:rPr>
      </w:pPr>
    </w:p>
    <w:p w:rsidR="00616D31" w:rsidRPr="00F8785C" w:rsidRDefault="00616D31"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（二）公募REITs场外份额解除限售</w:t>
      </w:r>
    </w:p>
    <w:p w:rsidR="00616D31" w:rsidRDefault="008669EF" w:rsidP="00055197">
      <w:pPr>
        <w:pStyle w:val="a3"/>
        <w:snapToGrid w:val="0"/>
        <w:spacing w:before="0" w:beforeAutospacing="0" w:after="0" w:afterAutospacing="0" w:line="240" w:lineRule="auto"/>
        <w:ind w:firstLine="482"/>
        <w:jc w:val="both"/>
        <w:rPr>
          <w:rFonts w:ascii="Times New Roman" w:eastAsia="楷体_GB2312" w:hAnsi="Times New Roman" w:cs="Times New Roman"/>
          <w:b/>
        </w:rPr>
      </w:pPr>
      <w:r>
        <w:rPr>
          <w:rFonts w:ascii="Times New Roman" w:eastAsia="楷体_GB2312" w:hAnsi="Times New Roman" w:cs="Times New Roman" w:hint="eastAsia"/>
          <w:b/>
        </w:rPr>
        <w:t>1</w:t>
      </w:r>
      <w:r>
        <w:rPr>
          <w:rFonts w:ascii="Times New Roman" w:eastAsia="楷体_GB2312" w:hAnsi="Times New Roman" w:cs="Times New Roman"/>
          <w:b/>
        </w:rPr>
        <w:t>.</w:t>
      </w:r>
      <w:r w:rsidR="00616D31">
        <w:rPr>
          <w:rFonts w:ascii="Times New Roman" w:eastAsia="楷体_GB2312" w:hAnsi="Times New Roman" w:cs="Times New Roman" w:hint="eastAsia"/>
          <w:b/>
        </w:rPr>
        <w:t>本次解除限售</w:t>
      </w:r>
      <w:r w:rsidR="00616D31" w:rsidRPr="00616D31">
        <w:rPr>
          <w:rFonts w:ascii="Times New Roman" w:eastAsia="楷体_GB2312" w:hAnsi="Times New Roman" w:cs="Times New Roman" w:hint="eastAsia"/>
          <w:b/>
        </w:rPr>
        <w:t>的份额情况：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39"/>
        <w:gridCol w:w="2552"/>
        <w:gridCol w:w="2268"/>
        <w:gridCol w:w="1588"/>
      </w:tblGrid>
      <w:tr w:rsidR="00055197" w:rsidRPr="00D53425" w:rsidTr="00F8785C">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0245F6" w:rsidRDefault="00055197" w:rsidP="005D123D">
            <w:pPr>
              <w:snapToGrid w:val="0"/>
              <w:jc w:val="center"/>
              <w:rPr>
                <w:rFonts w:ascii="楷体" w:eastAsia="楷体" w:hAnsi="楷体"/>
                <w:b/>
                <w:sz w:val="24"/>
                <w:szCs w:val="24"/>
              </w:rPr>
            </w:pPr>
            <w:r w:rsidRPr="000245F6">
              <w:rPr>
                <w:rFonts w:ascii="楷体" w:eastAsia="楷体" w:hAnsi="楷体" w:hint="eastAsia"/>
                <w:b/>
                <w:sz w:val="24"/>
                <w:szCs w:val="24"/>
              </w:rPr>
              <w:t>序号</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0245F6" w:rsidRDefault="00055197" w:rsidP="005D123D">
            <w:pPr>
              <w:snapToGrid w:val="0"/>
              <w:jc w:val="center"/>
              <w:rPr>
                <w:rFonts w:ascii="楷体" w:eastAsia="楷体" w:hAnsi="楷体"/>
                <w:b/>
                <w:sz w:val="24"/>
                <w:szCs w:val="24"/>
              </w:rPr>
            </w:pPr>
            <w:r w:rsidRPr="000245F6">
              <w:rPr>
                <w:rFonts w:ascii="楷体" w:eastAsia="楷体" w:hAnsi="楷体" w:hint="eastAsia"/>
                <w:b/>
                <w:sz w:val="24"/>
                <w:szCs w:val="24"/>
              </w:rPr>
              <w:t>证券账户名称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0245F6" w:rsidRDefault="00055197" w:rsidP="005D123D">
            <w:pPr>
              <w:snapToGrid w:val="0"/>
              <w:jc w:val="center"/>
              <w:rPr>
                <w:rFonts w:ascii="楷体" w:eastAsia="楷体" w:hAnsi="楷体"/>
                <w:b/>
                <w:sz w:val="24"/>
                <w:szCs w:val="24"/>
              </w:rPr>
            </w:pPr>
            <w:r w:rsidRPr="000245F6">
              <w:rPr>
                <w:rFonts w:ascii="楷体" w:eastAsia="楷体" w:hAnsi="楷体" w:hint="eastAsia"/>
                <w:b/>
                <w:sz w:val="24"/>
                <w:szCs w:val="24"/>
              </w:rPr>
              <w:t>限售份额（份）</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0245F6" w:rsidRDefault="00055197" w:rsidP="005D123D">
            <w:pPr>
              <w:snapToGrid w:val="0"/>
              <w:jc w:val="center"/>
              <w:rPr>
                <w:rFonts w:ascii="楷体" w:eastAsia="楷体" w:hAnsi="楷体"/>
                <w:b/>
                <w:sz w:val="24"/>
                <w:szCs w:val="24"/>
              </w:rPr>
            </w:pPr>
            <w:r w:rsidRPr="000245F6">
              <w:rPr>
                <w:rFonts w:ascii="楷体" w:eastAsia="楷体" w:hAnsi="楷体" w:hint="eastAsia"/>
                <w:b/>
                <w:sz w:val="24"/>
                <w:szCs w:val="24"/>
              </w:rPr>
              <w:t>限售类型</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5197" w:rsidRPr="000245F6" w:rsidRDefault="00055197" w:rsidP="005D123D">
            <w:pPr>
              <w:snapToGrid w:val="0"/>
              <w:jc w:val="center"/>
              <w:rPr>
                <w:rFonts w:ascii="楷体" w:eastAsia="楷体" w:hAnsi="楷体"/>
                <w:b/>
                <w:sz w:val="24"/>
                <w:szCs w:val="24"/>
              </w:rPr>
            </w:pPr>
            <w:r w:rsidRPr="000245F6">
              <w:rPr>
                <w:rFonts w:ascii="楷体" w:eastAsia="楷体" w:hAnsi="楷体" w:hint="eastAsia"/>
                <w:b/>
                <w:sz w:val="24"/>
                <w:szCs w:val="24"/>
              </w:rPr>
              <w:t>限售期（月）</w:t>
            </w:r>
          </w:p>
        </w:tc>
      </w:tr>
      <w:tr w:rsidR="005A7AEB" w:rsidRPr="005A7AEB"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富国基金智享</w:t>
            </w:r>
            <w:r w:rsidRPr="005A7AEB">
              <w:rPr>
                <w:rFonts w:eastAsia="楷体_GB2312" w:hint="eastAsia"/>
                <w:color w:val="000000"/>
                <w:sz w:val="24"/>
                <w:szCs w:val="24"/>
              </w:rPr>
              <w:t>8</w:t>
            </w:r>
            <w:r w:rsidRPr="005A7AEB">
              <w:rPr>
                <w:rFonts w:eastAsia="楷体_GB2312" w:hint="eastAsia"/>
                <w:color w:val="000000"/>
                <w:sz w:val="24"/>
                <w:szCs w:val="24"/>
              </w:rPr>
              <w:t>号</w:t>
            </w:r>
            <w:r w:rsidRPr="005A7AEB">
              <w:rPr>
                <w:rFonts w:eastAsia="楷体_GB2312" w:hint="eastAsia"/>
                <w:color w:val="000000"/>
                <w:sz w:val="24"/>
                <w:szCs w:val="24"/>
              </w:rPr>
              <w:t>FOF</w:t>
            </w:r>
            <w:r w:rsidRPr="005A7AEB">
              <w:rPr>
                <w:rFonts w:eastAsia="楷体_GB2312" w:hint="eastAsia"/>
                <w:color w:val="000000"/>
                <w:sz w:val="24"/>
                <w:szCs w:val="24"/>
              </w:rPr>
              <w:t>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15,000,000.00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eastAsia="楷体_GB2312"/>
                <w:color w:val="000000"/>
                <w:sz w:val="24"/>
                <w:szCs w:val="24"/>
              </w:rPr>
            </w:pPr>
            <w:r w:rsidRPr="005A7AEB">
              <w:rPr>
                <w:rFonts w:eastAsia="楷体_GB2312"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r w:rsidR="005A7AEB" w:rsidRPr="005A7AEB" w:rsidTr="00F8785C">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2</w:t>
            </w:r>
          </w:p>
        </w:tc>
        <w:tc>
          <w:tcPr>
            <w:tcW w:w="2239"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工银瑞投－工银理财四海甄选集合资产管理计划</w:t>
            </w:r>
          </w:p>
        </w:tc>
        <w:tc>
          <w:tcPr>
            <w:tcW w:w="2552"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jc w:val="center"/>
              <w:rPr>
                <w:rFonts w:eastAsia="楷体_GB2312"/>
                <w:color w:val="000000"/>
                <w:sz w:val="24"/>
                <w:szCs w:val="24"/>
              </w:rPr>
            </w:pPr>
            <w:r w:rsidRPr="005A7AEB">
              <w:rPr>
                <w:rFonts w:eastAsia="楷体_GB2312" w:hint="eastAsia"/>
                <w:color w:val="000000"/>
                <w:sz w:val="24"/>
                <w:szCs w:val="24"/>
              </w:rPr>
              <w:t xml:space="preserve">   12,500,000.00 </w:t>
            </w:r>
          </w:p>
        </w:tc>
        <w:tc>
          <w:tcPr>
            <w:tcW w:w="2268" w:type="dxa"/>
            <w:tcBorders>
              <w:top w:val="single" w:sz="4" w:space="0" w:color="auto"/>
              <w:left w:val="single" w:sz="4" w:space="0" w:color="auto"/>
              <w:bottom w:val="single" w:sz="4" w:space="0" w:color="auto"/>
              <w:right w:val="single" w:sz="4" w:space="0" w:color="auto"/>
            </w:tcBorders>
          </w:tcPr>
          <w:p w:rsidR="005A7AEB" w:rsidRPr="005A7AEB" w:rsidRDefault="005A7AEB" w:rsidP="005A7AEB">
            <w:pPr>
              <w:snapToGrid w:val="0"/>
              <w:rPr>
                <w:rFonts w:eastAsia="楷体_GB2312"/>
                <w:color w:val="000000"/>
                <w:sz w:val="24"/>
                <w:szCs w:val="24"/>
              </w:rPr>
            </w:pPr>
            <w:r w:rsidRPr="005A7AEB">
              <w:rPr>
                <w:rFonts w:eastAsia="楷体_GB2312" w:hint="eastAsia"/>
                <w:color w:val="000000"/>
                <w:sz w:val="24"/>
                <w:szCs w:val="24"/>
              </w:rPr>
              <w:t>其他专业机构投资者战略配售限售</w:t>
            </w:r>
          </w:p>
        </w:tc>
        <w:tc>
          <w:tcPr>
            <w:tcW w:w="1588" w:type="dxa"/>
            <w:tcBorders>
              <w:top w:val="single" w:sz="4" w:space="0" w:color="auto"/>
              <w:left w:val="single" w:sz="4" w:space="0" w:color="auto"/>
              <w:bottom w:val="single" w:sz="4" w:space="0" w:color="auto"/>
              <w:right w:val="single" w:sz="4" w:space="0" w:color="auto"/>
            </w:tcBorders>
            <w:vAlign w:val="center"/>
          </w:tcPr>
          <w:p w:rsidR="005A7AEB" w:rsidRPr="005A7AEB" w:rsidRDefault="005A7AEB" w:rsidP="005A7AEB">
            <w:pPr>
              <w:snapToGrid w:val="0"/>
              <w:jc w:val="center"/>
              <w:rPr>
                <w:rFonts w:eastAsia="楷体_GB2312"/>
                <w:color w:val="000000"/>
                <w:sz w:val="24"/>
                <w:szCs w:val="24"/>
              </w:rPr>
            </w:pPr>
            <w:r w:rsidRPr="005A7AEB">
              <w:rPr>
                <w:rFonts w:eastAsia="楷体_GB2312" w:hint="eastAsia"/>
                <w:color w:val="000000"/>
                <w:sz w:val="24"/>
                <w:szCs w:val="24"/>
              </w:rPr>
              <w:t>12</w:t>
            </w:r>
          </w:p>
        </w:tc>
      </w:tr>
    </w:tbl>
    <w:p w:rsidR="008669EF" w:rsidRDefault="008669EF" w:rsidP="008669EF">
      <w:pPr>
        <w:pStyle w:val="a3"/>
        <w:snapToGrid w:val="0"/>
        <w:spacing w:before="0" w:beforeAutospacing="0" w:after="0" w:afterAutospacing="0" w:line="240" w:lineRule="auto"/>
        <w:ind w:firstLine="480"/>
        <w:jc w:val="both"/>
        <w:rPr>
          <w:rFonts w:ascii="Times New Roman" w:eastAsia="楷体_GB2312" w:hAnsi="Times New Roman" w:cs="Times New Roman"/>
        </w:rPr>
      </w:pPr>
      <w:r w:rsidRPr="00616D31">
        <w:rPr>
          <w:rFonts w:ascii="Times New Roman" w:eastAsia="楷体_GB2312" w:hAnsi="Times New Roman" w:cs="Times New Roman" w:hint="eastAsia"/>
        </w:rPr>
        <w:t>注：</w:t>
      </w:r>
      <w:r w:rsidRPr="00055197">
        <w:rPr>
          <w:rFonts w:ascii="Times New Roman" w:eastAsia="楷体_GB2312" w:hAnsi="Times New Roman" w:cs="Times New Roman" w:hint="eastAsia"/>
        </w:rPr>
        <w:t>上述限售份额自</w:t>
      </w:r>
      <w:r w:rsidRPr="00055197">
        <w:rPr>
          <w:rFonts w:ascii="Times New Roman" w:eastAsia="楷体_GB2312" w:hAnsi="Times New Roman" w:cs="Times New Roman" w:hint="eastAsia"/>
        </w:rPr>
        <w:t>2022</w:t>
      </w:r>
      <w:r w:rsidRPr="00055197">
        <w:rPr>
          <w:rFonts w:ascii="Times New Roman" w:eastAsia="楷体_GB2312" w:hAnsi="Times New Roman" w:cs="Times New Roman" w:hint="eastAsia"/>
        </w:rPr>
        <w:t>年</w:t>
      </w:r>
      <w:r w:rsidRPr="00055197">
        <w:rPr>
          <w:rFonts w:ascii="Times New Roman" w:eastAsia="楷体_GB2312" w:hAnsi="Times New Roman" w:cs="Times New Roman" w:hint="eastAsia"/>
        </w:rPr>
        <w:t>6</w:t>
      </w:r>
      <w:r w:rsidRPr="00055197">
        <w:rPr>
          <w:rFonts w:ascii="Times New Roman" w:eastAsia="楷体_GB2312" w:hAnsi="Times New Roman" w:cs="Times New Roman" w:hint="eastAsia"/>
        </w:rPr>
        <w:t>月</w:t>
      </w:r>
      <w:r w:rsidRPr="00055197">
        <w:rPr>
          <w:rFonts w:ascii="Times New Roman" w:eastAsia="楷体_GB2312" w:hAnsi="Times New Roman" w:cs="Times New Roman" w:hint="eastAsia"/>
        </w:rPr>
        <w:t>21</w:t>
      </w:r>
      <w:r w:rsidRPr="00055197">
        <w:rPr>
          <w:rFonts w:ascii="Times New Roman" w:eastAsia="楷体_GB2312" w:hAnsi="Times New Roman" w:cs="Times New Roman" w:hint="eastAsia"/>
        </w:rPr>
        <w:t>日起满足解除限售条件。</w:t>
      </w:r>
    </w:p>
    <w:p w:rsidR="008669EF" w:rsidRPr="008669EF" w:rsidRDefault="008669EF" w:rsidP="008669EF">
      <w:pPr>
        <w:pStyle w:val="a3"/>
        <w:snapToGrid w:val="0"/>
        <w:spacing w:before="0" w:beforeAutospacing="0" w:after="0" w:afterAutospacing="0" w:line="240" w:lineRule="auto"/>
        <w:ind w:firstLine="482"/>
        <w:jc w:val="both"/>
        <w:rPr>
          <w:rFonts w:ascii="Times New Roman" w:eastAsia="楷体_GB2312" w:hAnsi="Times New Roman" w:cs="Times New Roman"/>
          <w:b/>
        </w:rPr>
      </w:pPr>
    </w:p>
    <w:p w:rsidR="00616D31" w:rsidRDefault="008669EF" w:rsidP="00055197">
      <w:pPr>
        <w:pStyle w:val="a3"/>
        <w:snapToGrid w:val="0"/>
        <w:spacing w:before="0" w:beforeAutospacing="0" w:after="0" w:afterAutospacing="0" w:line="240" w:lineRule="auto"/>
        <w:ind w:firstLine="482"/>
        <w:jc w:val="both"/>
        <w:rPr>
          <w:rFonts w:ascii="Times New Roman" w:eastAsia="楷体_GB2312" w:hAnsi="Times New Roman" w:cs="Times New Roman"/>
          <w:b/>
        </w:rPr>
      </w:pPr>
      <w:r>
        <w:rPr>
          <w:rFonts w:ascii="Times New Roman" w:eastAsia="楷体_GB2312" w:hAnsi="Times New Roman" w:cs="Times New Roman" w:hint="eastAsia"/>
          <w:b/>
        </w:rPr>
        <w:t>2</w:t>
      </w:r>
      <w:r>
        <w:rPr>
          <w:rFonts w:ascii="Times New Roman" w:eastAsia="楷体_GB2312" w:hAnsi="Times New Roman" w:cs="Times New Roman"/>
          <w:b/>
        </w:rPr>
        <w:t>.</w:t>
      </w:r>
      <w:r w:rsidR="00616D31">
        <w:rPr>
          <w:rFonts w:ascii="Times New Roman" w:eastAsia="楷体_GB2312" w:hAnsi="Times New Roman" w:cs="Times New Roman" w:hint="eastAsia"/>
          <w:b/>
        </w:rPr>
        <w:t>本次解除限售后剩余限售</w:t>
      </w:r>
      <w:r w:rsidR="00616D31" w:rsidRPr="00616D31">
        <w:rPr>
          <w:rFonts w:ascii="Times New Roman" w:eastAsia="楷体_GB2312" w:hAnsi="Times New Roman" w:cs="Times New Roman" w:hint="eastAsia"/>
          <w:b/>
        </w:rPr>
        <w:t>份额情况：</w:t>
      </w:r>
    </w:p>
    <w:p w:rsidR="00055197" w:rsidRDefault="005A7AEB" w:rsidP="00055197">
      <w:pPr>
        <w:pStyle w:val="a3"/>
        <w:snapToGrid w:val="0"/>
        <w:spacing w:before="0" w:beforeAutospacing="0" w:after="0" w:afterAutospacing="0" w:line="240" w:lineRule="auto"/>
        <w:ind w:firstLine="480"/>
        <w:jc w:val="both"/>
        <w:rPr>
          <w:rFonts w:ascii="Times New Roman" w:eastAsia="楷体_GB2312" w:hAnsi="Times New Roman" w:cs="Times New Roman"/>
        </w:rPr>
      </w:pPr>
      <w:r>
        <w:rPr>
          <w:rFonts w:ascii="Times New Roman" w:eastAsia="楷体_GB2312" w:hAnsi="Times New Roman" w:cs="Times New Roman"/>
        </w:rPr>
        <w:t>无</w:t>
      </w:r>
      <w:r>
        <w:rPr>
          <w:rFonts w:ascii="Times New Roman" w:eastAsia="楷体_GB2312" w:hAnsi="Times New Roman" w:cs="Times New Roman" w:hint="eastAsia"/>
        </w:rPr>
        <w:t>。</w:t>
      </w:r>
    </w:p>
    <w:p w:rsidR="00055197" w:rsidRPr="00055197" w:rsidRDefault="00055197" w:rsidP="00F8785C">
      <w:pPr>
        <w:pStyle w:val="a3"/>
        <w:snapToGrid w:val="0"/>
        <w:spacing w:before="0" w:beforeAutospacing="0" w:after="0" w:afterAutospacing="0" w:line="240" w:lineRule="auto"/>
        <w:ind w:firstLineChars="0" w:firstLine="0"/>
        <w:jc w:val="both"/>
        <w:rPr>
          <w:rFonts w:ascii="Times New Roman" w:eastAsia="楷体_GB2312" w:hAnsi="Times New Roman" w:cs="Times New Roman"/>
          <w:b/>
        </w:rPr>
      </w:pPr>
    </w:p>
    <w:p w:rsidR="00055197" w:rsidRPr="00F8785C" w:rsidRDefault="00055197"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三、本次限售份额上市后流通份额变化情况</w:t>
      </w:r>
    </w:p>
    <w:p w:rsidR="00055197" w:rsidRPr="00ED37A2" w:rsidRDefault="00055197" w:rsidP="00175F89">
      <w:pPr>
        <w:spacing w:line="360" w:lineRule="auto"/>
        <w:ind w:firstLineChars="200" w:firstLine="480"/>
        <w:jc w:val="both"/>
        <w:rPr>
          <w:rFonts w:ascii="楷体" w:eastAsia="楷体" w:hAnsi="楷体"/>
          <w:sz w:val="24"/>
          <w:szCs w:val="24"/>
        </w:rPr>
      </w:pPr>
      <w:r w:rsidRPr="00F8785C">
        <w:rPr>
          <w:rFonts w:ascii="楷体" w:eastAsia="楷体" w:hAnsi="楷体" w:hint="eastAsia"/>
          <w:sz w:val="24"/>
          <w:szCs w:val="24"/>
        </w:rPr>
        <w:t>本次战略配售份额上市流通前，可在二级市场交易的本基金流通份额为</w:t>
      </w:r>
      <w:r w:rsidR="00653C6B" w:rsidRPr="00F8785C">
        <w:rPr>
          <w:rFonts w:ascii="楷体" w:eastAsia="楷体" w:hAnsi="楷体"/>
          <w:sz w:val="24"/>
          <w:szCs w:val="24"/>
        </w:rPr>
        <w:t>120,000,000</w:t>
      </w:r>
      <w:r w:rsidRPr="00F8785C">
        <w:rPr>
          <w:rFonts w:ascii="楷体" w:eastAsia="楷体" w:hAnsi="楷体" w:hint="eastAsia"/>
          <w:sz w:val="24"/>
          <w:szCs w:val="24"/>
        </w:rPr>
        <w:t>份，占本基金全部基金份额的</w:t>
      </w:r>
      <w:r w:rsidR="00653C6B" w:rsidRPr="00F8785C">
        <w:rPr>
          <w:rFonts w:ascii="楷体" w:eastAsia="楷体" w:hAnsi="楷体"/>
          <w:sz w:val="24"/>
          <w:szCs w:val="24"/>
        </w:rPr>
        <w:t>24</w:t>
      </w:r>
      <w:r w:rsidRPr="00F8785C">
        <w:rPr>
          <w:rFonts w:ascii="楷体" w:eastAsia="楷体" w:hAnsi="楷体" w:hint="eastAsia"/>
          <w:sz w:val="24"/>
          <w:szCs w:val="24"/>
        </w:rPr>
        <w:t>%。本次战略配售份额解禁后，可流通份额合计为</w:t>
      </w:r>
      <w:r w:rsidR="00653C6B" w:rsidRPr="00F8785C">
        <w:rPr>
          <w:rFonts w:ascii="楷体" w:eastAsia="楷体" w:hAnsi="楷体"/>
          <w:sz w:val="24"/>
          <w:szCs w:val="24"/>
        </w:rPr>
        <w:t>245,000</w:t>
      </w:r>
      <w:r w:rsidR="00653C6B" w:rsidRPr="00F8785C">
        <w:rPr>
          <w:rFonts w:ascii="楷体" w:eastAsia="楷体" w:hAnsi="楷体" w:hint="eastAsia"/>
          <w:sz w:val="24"/>
          <w:szCs w:val="24"/>
        </w:rPr>
        <w:t>,</w:t>
      </w:r>
      <w:r w:rsidR="00653C6B" w:rsidRPr="00F8785C">
        <w:rPr>
          <w:rFonts w:ascii="楷体" w:eastAsia="楷体" w:hAnsi="楷体"/>
          <w:sz w:val="24"/>
          <w:szCs w:val="24"/>
        </w:rPr>
        <w:t>000</w:t>
      </w:r>
      <w:r w:rsidRPr="00F8785C">
        <w:rPr>
          <w:rFonts w:ascii="楷体" w:eastAsia="楷体" w:hAnsi="楷体" w:hint="eastAsia"/>
          <w:sz w:val="24"/>
          <w:szCs w:val="24"/>
        </w:rPr>
        <w:t>份，占本基金全部基金份额的</w:t>
      </w:r>
      <w:r w:rsidR="00653C6B" w:rsidRPr="00F8785C">
        <w:rPr>
          <w:rFonts w:ascii="楷体" w:eastAsia="楷体" w:hAnsi="楷体"/>
          <w:sz w:val="24"/>
          <w:szCs w:val="24"/>
        </w:rPr>
        <w:t>49</w:t>
      </w:r>
      <w:r w:rsidRPr="00F8785C">
        <w:rPr>
          <w:rFonts w:ascii="楷体" w:eastAsia="楷体" w:hAnsi="楷体" w:hint="eastAsia"/>
          <w:sz w:val="24"/>
          <w:szCs w:val="24"/>
        </w:rPr>
        <w:t>%。</w:t>
      </w:r>
      <w:r w:rsidR="00ED37A2">
        <w:rPr>
          <w:rFonts w:ascii="楷体" w:eastAsia="楷体" w:hAnsi="楷体" w:hint="eastAsia"/>
          <w:sz w:val="24"/>
          <w:szCs w:val="24"/>
        </w:rPr>
        <w:t>前述流通份额均包括场外份额，</w:t>
      </w:r>
      <w:r w:rsidR="007D5B9C">
        <w:rPr>
          <w:rFonts w:ascii="楷体" w:eastAsia="楷体" w:hAnsi="楷体" w:hint="eastAsia"/>
          <w:sz w:val="24"/>
          <w:szCs w:val="24"/>
        </w:rPr>
        <w:t>场外份额</w:t>
      </w:r>
      <w:r w:rsidR="00ED37A2">
        <w:rPr>
          <w:rFonts w:ascii="楷体" w:eastAsia="楷体" w:hAnsi="楷体" w:hint="eastAsia"/>
          <w:sz w:val="24"/>
          <w:szCs w:val="24"/>
        </w:rPr>
        <w:t>在符合相关办理条件的前提下通过</w:t>
      </w:r>
      <w:r w:rsidR="00ED37A2" w:rsidRPr="00ED37A2">
        <w:rPr>
          <w:rFonts w:ascii="楷体" w:eastAsia="楷体" w:hAnsi="楷体" w:hint="eastAsia"/>
          <w:sz w:val="24"/>
          <w:szCs w:val="24"/>
        </w:rPr>
        <w:t>跨系统转托管至场内后即可上市流通</w:t>
      </w:r>
      <w:r w:rsidR="007D5B9C">
        <w:rPr>
          <w:rFonts w:ascii="楷体" w:eastAsia="楷体" w:hAnsi="楷体" w:hint="eastAsia"/>
          <w:sz w:val="24"/>
          <w:szCs w:val="24"/>
        </w:rPr>
        <w:t>，也可</w:t>
      </w:r>
      <w:r w:rsidR="007D5B9C" w:rsidRPr="007D5B9C">
        <w:rPr>
          <w:rFonts w:ascii="楷体" w:eastAsia="楷体" w:hAnsi="楷体" w:hint="eastAsia"/>
          <w:sz w:val="24"/>
          <w:szCs w:val="24"/>
        </w:rPr>
        <w:t>通过基金通平台办理场外份额交易服务（仅限卖出）</w:t>
      </w:r>
      <w:r w:rsidR="00ED37A2">
        <w:rPr>
          <w:rFonts w:ascii="楷体" w:eastAsia="楷体" w:hAnsi="楷体" w:hint="eastAsia"/>
          <w:sz w:val="24"/>
          <w:szCs w:val="24"/>
        </w:rPr>
        <w:t>。</w:t>
      </w:r>
    </w:p>
    <w:p w:rsidR="00653C6B" w:rsidRPr="00F8785C" w:rsidRDefault="00653C6B" w:rsidP="001B445F">
      <w:pPr>
        <w:widowControl/>
        <w:snapToGrid w:val="0"/>
        <w:spacing w:line="360" w:lineRule="auto"/>
        <w:ind w:firstLineChars="200" w:firstLine="480"/>
        <w:rPr>
          <w:rFonts w:ascii="楷体" w:eastAsia="楷体" w:hAnsi="楷体"/>
          <w:b/>
          <w:color w:val="000000"/>
          <w:sz w:val="24"/>
          <w:szCs w:val="24"/>
        </w:rPr>
      </w:pPr>
    </w:p>
    <w:p w:rsidR="009C415D" w:rsidRPr="00F8785C" w:rsidRDefault="00055197" w:rsidP="001B445F">
      <w:pPr>
        <w:widowControl/>
        <w:snapToGrid w:val="0"/>
        <w:spacing w:line="360" w:lineRule="auto"/>
        <w:ind w:firstLineChars="200" w:firstLine="480"/>
        <w:rPr>
          <w:rFonts w:ascii="楷体" w:eastAsia="楷体" w:hAnsi="楷体"/>
          <w:b/>
          <w:color w:val="000000"/>
          <w:sz w:val="24"/>
          <w:szCs w:val="24"/>
        </w:rPr>
      </w:pPr>
      <w:r w:rsidRPr="00F8785C">
        <w:rPr>
          <w:rFonts w:ascii="楷体" w:eastAsia="楷体" w:hAnsi="楷体" w:hint="eastAsia"/>
          <w:b/>
          <w:color w:val="000000"/>
          <w:sz w:val="24"/>
          <w:szCs w:val="24"/>
        </w:rPr>
        <w:t>四</w:t>
      </w:r>
      <w:r w:rsidR="009C415D" w:rsidRPr="00F8785C">
        <w:rPr>
          <w:rFonts w:ascii="楷体" w:eastAsia="楷体" w:hAnsi="楷体" w:hint="eastAsia"/>
          <w:b/>
          <w:color w:val="000000"/>
          <w:sz w:val="24"/>
          <w:szCs w:val="24"/>
        </w:rPr>
        <w:t>、其他需要提示的事项</w:t>
      </w:r>
    </w:p>
    <w:p w:rsidR="00653C6B" w:rsidRPr="00F8785C" w:rsidRDefault="00653C6B" w:rsidP="00653C6B">
      <w:pPr>
        <w:spacing w:line="360" w:lineRule="auto"/>
        <w:ind w:firstLineChars="200" w:firstLine="480"/>
        <w:rPr>
          <w:rFonts w:ascii="楷体" w:eastAsia="楷体" w:hAnsi="楷体"/>
          <w:sz w:val="24"/>
          <w:szCs w:val="24"/>
        </w:rPr>
      </w:pPr>
      <w:r w:rsidRPr="00F8785C">
        <w:rPr>
          <w:rFonts w:ascii="楷体" w:eastAsia="楷体" w:hAnsi="楷体" w:hint="eastAsia"/>
          <w:sz w:val="24"/>
          <w:szCs w:val="24"/>
        </w:rPr>
        <w:t>（一）限售期安排</w:t>
      </w:r>
    </w:p>
    <w:p w:rsidR="00653C6B" w:rsidRPr="00F8785C" w:rsidRDefault="00653C6B" w:rsidP="00175F89">
      <w:pPr>
        <w:spacing w:line="360" w:lineRule="auto"/>
        <w:ind w:firstLineChars="200" w:firstLine="480"/>
        <w:jc w:val="both"/>
        <w:rPr>
          <w:rFonts w:ascii="楷体" w:eastAsia="楷体" w:hAnsi="楷体"/>
          <w:sz w:val="24"/>
          <w:szCs w:val="24"/>
        </w:rPr>
      </w:pPr>
      <w:r w:rsidRPr="00F8785C">
        <w:rPr>
          <w:rFonts w:ascii="楷体" w:eastAsia="楷体" w:hAnsi="楷体" w:hint="eastAsia"/>
          <w:sz w:val="24"/>
          <w:szCs w:val="24"/>
        </w:rPr>
        <w:t>本基金原始权益人北京首创生态环保集团股份有限公司（原名</w:t>
      </w:r>
      <w:r w:rsidR="00F8785C">
        <w:rPr>
          <w:rFonts w:ascii="楷体" w:eastAsia="楷体" w:hAnsi="楷体" w:hint="eastAsia"/>
          <w:sz w:val="24"/>
          <w:szCs w:val="24"/>
        </w:rPr>
        <w:t>:</w:t>
      </w:r>
      <w:r w:rsidRPr="00F8785C">
        <w:rPr>
          <w:rFonts w:ascii="楷体" w:eastAsia="楷体" w:hAnsi="楷体" w:hint="eastAsia"/>
          <w:sz w:val="24"/>
          <w:szCs w:val="24"/>
        </w:rPr>
        <w:t>北京首创股份有限公司）所持战略配售的基金份额数量在本基金投资之深圳基础设施项目和合肥基础设施项目的特许经营权期限内（以届时存续的前述基础设施项目的特许经营权到期日孰晚为准）不得转让，且不得通过其他方式造成其持有份额产生权利瑕疵，如协议安排、融资、抵押、质押、保理等。</w:t>
      </w:r>
    </w:p>
    <w:p w:rsidR="00653C6B" w:rsidRPr="00F8785C" w:rsidRDefault="00653C6B" w:rsidP="00175F89">
      <w:pPr>
        <w:spacing w:line="360" w:lineRule="auto"/>
        <w:ind w:firstLineChars="200" w:firstLine="480"/>
        <w:jc w:val="both"/>
        <w:rPr>
          <w:rFonts w:ascii="楷体" w:eastAsia="楷体" w:hAnsi="楷体"/>
          <w:sz w:val="24"/>
          <w:szCs w:val="24"/>
        </w:rPr>
      </w:pPr>
      <w:r w:rsidRPr="00F8785C">
        <w:rPr>
          <w:rFonts w:ascii="楷体" w:eastAsia="楷体" w:hAnsi="楷体" w:hint="eastAsia"/>
          <w:sz w:val="24"/>
          <w:szCs w:val="24"/>
        </w:rPr>
        <w:t>其他战略配售投资者获得配售的本基金份额持有期自基金上市之日起</w:t>
      </w:r>
      <w:r w:rsidRPr="00F8785C">
        <w:rPr>
          <w:rFonts w:ascii="楷体" w:eastAsia="楷体" w:hAnsi="楷体"/>
          <w:sz w:val="24"/>
          <w:szCs w:val="24"/>
        </w:rPr>
        <w:t>12个月。</w:t>
      </w:r>
    </w:p>
    <w:p w:rsidR="00653C6B" w:rsidRPr="00F8785C" w:rsidRDefault="00653C6B" w:rsidP="00653C6B">
      <w:pPr>
        <w:spacing w:line="360" w:lineRule="auto"/>
        <w:ind w:firstLineChars="200" w:firstLine="480"/>
        <w:rPr>
          <w:rFonts w:ascii="楷体" w:eastAsia="楷体" w:hAnsi="楷体"/>
          <w:sz w:val="24"/>
          <w:szCs w:val="24"/>
        </w:rPr>
      </w:pPr>
      <w:r w:rsidRPr="00F8785C">
        <w:rPr>
          <w:rFonts w:ascii="楷体" w:eastAsia="楷体" w:hAnsi="楷体" w:hint="eastAsia"/>
          <w:sz w:val="24"/>
          <w:szCs w:val="24"/>
        </w:rPr>
        <w:t>（二）净现金流分派率说明</w:t>
      </w:r>
    </w:p>
    <w:p w:rsidR="00653C6B" w:rsidRPr="00F8785C" w:rsidRDefault="00653C6B"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基金首次发行时的净现金流分派率预测值=预计年度可</w:t>
      </w:r>
      <w:r w:rsidR="00064182">
        <w:rPr>
          <w:rFonts w:ascii="楷体" w:eastAsia="楷体" w:hAnsi="楷体" w:hint="eastAsia"/>
          <w:color w:val="000000"/>
          <w:sz w:val="24"/>
          <w:szCs w:val="24"/>
        </w:rPr>
        <w:t>供</w:t>
      </w:r>
      <w:r w:rsidRPr="00F8785C">
        <w:rPr>
          <w:rFonts w:ascii="楷体" w:eastAsia="楷体" w:hAnsi="楷体" w:hint="eastAsia"/>
          <w:color w:val="000000"/>
          <w:sz w:val="24"/>
          <w:szCs w:val="24"/>
        </w:rPr>
        <w:t>分配现金流/基金发行</w:t>
      </w:r>
      <w:r w:rsidR="003A00DA">
        <w:rPr>
          <w:rFonts w:ascii="楷体" w:eastAsia="楷体" w:hAnsi="楷体"/>
          <w:color w:val="000000"/>
          <w:sz w:val="24"/>
          <w:szCs w:val="24"/>
        </w:rPr>
        <w:t>规模</w:t>
      </w:r>
      <w:r w:rsidRPr="00F8785C">
        <w:rPr>
          <w:rFonts w:ascii="楷体" w:eastAsia="楷体" w:hAnsi="楷体" w:hint="eastAsia"/>
          <w:color w:val="000000"/>
          <w:sz w:val="24"/>
          <w:szCs w:val="24"/>
        </w:rPr>
        <w:t>。对应到每个投资者的年度净现金流分派率</w:t>
      </w:r>
      <w:r w:rsidR="003A00DA">
        <w:rPr>
          <w:rFonts w:ascii="楷体" w:eastAsia="楷体" w:hAnsi="楷体" w:hint="eastAsia"/>
          <w:color w:val="000000"/>
          <w:sz w:val="24"/>
          <w:szCs w:val="24"/>
        </w:rPr>
        <w:t>预测值</w:t>
      </w:r>
      <w:r w:rsidRPr="00F8785C">
        <w:rPr>
          <w:rFonts w:ascii="楷体" w:eastAsia="楷体" w:hAnsi="楷体" w:hint="eastAsia"/>
          <w:color w:val="000000"/>
          <w:sz w:val="24"/>
          <w:szCs w:val="24"/>
        </w:rPr>
        <w:t>=</w:t>
      </w:r>
      <w:r w:rsidR="003A00DA" w:rsidRPr="003A00DA">
        <w:rPr>
          <w:rFonts w:ascii="楷体" w:eastAsia="楷体" w:hAnsi="楷体" w:hint="eastAsia"/>
          <w:color w:val="000000"/>
          <w:sz w:val="24"/>
          <w:szCs w:val="24"/>
        </w:rPr>
        <w:t>预计</w:t>
      </w:r>
      <w:r w:rsidRPr="00F8785C">
        <w:rPr>
          <w:rFonts w:ascii="楷体" w:eastAsia="楷体" w:hAnsi="楷体" w:hint="eastAsia"/>
          <w:color w:val="000000"/>
          <w:sz w:val="24"/>
          <w:szCs w:val="24"/>
        </w:rPr>
        <w:t>年度</w:t>
      </w:r>
      <w:r w:rsidR="00487575">
        <w:rPr>
          <w:rFonts w:ascii="楷体" w:eastAsia="楷体" w:hAnsi="楷体" w:hint="eastAsia"/>
          <w:color w:val="000000"/>
          <w:sz w:val="24"/>
          <w:szCs w:val="24"/>
        </w:rPr>
        <w:t>可供分配现金流</w:t>
      </w:r>
      <w:r w:rsidRPr="00F8785C">
        <w:rPr>
          <w:rFonts w:ascii="楷体" w:eastAsia="楷体" w:hAnsi="楷体" w:hint="eastAsia"/>
          <w:color w:val="000000"/>
          <w:sz w:val="24"/>
          <w:szCs w:val="24"/>
        </w:rPr>
        <w:t>/基金买入成本。二级市场交易价格上涨会导致买入成本上涨，导致投资者实际的净现金流分派率降低。</w:t>
      </w:r>
    </w:p>
    <w:p w:rsidR="00653C6B" w:rsidRPr="00F8785C" w:rsidRDefault="00653C6B"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根据</w:t>
      </w:r>
      <w:bookmarkStart w:id="0" w:name="_Hlk103945574"/>
      <w:r w:rsidR="003A00DA">
        <w:rPr>
          <w:rFonts w:ascii="楷体" w:eastAsia="楷体" w:hAnsi="楷体" w:hint="eastAsia"/>
          <w:color w:val="000000"/>
          <w:sz w:val="24"/>
          <w:szCs w:val="24"/>
        </w:rPr>
        <w:t>《</w:t>
      </w:r>
      <w:r w:rsidR="003A00DA" w:rsidRPr="003A00DA">
        <w:rPr>
          <w:rFonts w:ascii="楷体" w:eastAsia="楷体" w:hAnsi="楷体" w:hint="eastAsia"/>
          <w:color w:val="000000"/>
          <w:sz w:val="24"/>
          <w:szCs w:val="24"/>
        </w:rPr>
        <w:t>富国首创水务封闭式基础设施证券投资基金招募说明书</w:t>
      </w:r>
      <w:r w:rsidR="003A00DA">
        <w:rPr>
          <w:rFonts w:ascii="楷体" w:eastAsia="楷体" w:hAnsi="楷体" w:hint="eastAsia"/>
          <w:color w:val="000000"/>
          <w:sz w:val="24"/>
          <w:szCs w:val="24"/>
        </w:rPr>
        <w:t>》及《</w:t>
      </w:r>
      <w:r w:rsidR="003A00DA" w:rsidRPr="003A00DA">
        <w:rPr>
          <w:rFonts w:ascii="楷体" w:eastAsia="楷体" w:hAnsi="楷体" w:hint="eastAsia"/>
          <w:color w:val="000000"/>
          <w:sz w:val="24"/>
          <w:szCs w:val="24"/>
        </w:rPr>
        <w:t>富国首创水务封闭式基础设施证券投资基金</w:t>
      </w:r>
      <w:r w:rsidR="003A00DA">
        <w:rPr>
          <w:rFonts w:ascii="楷体" w:eastAsia="楷体" w:hAnsi="楷体" w:hint="eastAsia"/>
          <w:color w:val="000000"/>
          <w:sz w:val="24"/>
          <w:szCs w:val="24"/>
        </w:rPr>
        <w:t>2</w:t>
      </w:r>
      <w:r w:rsidR="003A00DA">
        <w:rPr>
          <w:rFonts w:ascii="楷体" w:eastAsia="楷体" w:hAnsi="楷体"/>
          <w:color w:val="000000"/>
          <w:sz w:val="24"/>
          <w:szCs w:val="24"/>
        </w:rPr>
        <w:t>021</w:t>
      </w:r>
      <w:r w:rsidR="003A00DA" w:rsidRPr="003A00DA">
        <w:rPr>
          <w:rFonts w:ascii="楷体" w:eastAsia="楷体" w:hAnsi="楷体" w:hint="eastAsia"/>
          <w:color w:val="000000"/>
          <w:sz w:val="24"/>
          <w:szCs w:val="24"/>
        </w:rPr>
        <w:t>年年度报告</w:t>
      </w:r>
      <w:r w:rsidR="003A00DA">
        <w:rPr>
          <w:rFonts w:ascii="楷体" w:eastAsia="楷体" w:hAnsi="楷体" w:hint="eastAsia"/>
          <w:color w:val="000000"/>
          <w:sz w:val="24"/>
          <w:szCs w:val="24"/>
        </w:rPr>
        <w:t>》</w:t>
      </w:r>
      <w:bookmarkEnd w:id="0"/>
      <w:r w:rsidRPr="00F8785C">
        <w:rPr>
          <w:rFonts w:ascii="楷体" w:eastAsia="楷体" w:hAnsi="楷体" w:hint="eastAsia"/>
          <w:color w:val="000000"/>
          <w:sz w:val="24"/>
          <w:szCs w:val="24"/>
        </w:rPr>
        <w:t>，</w:t>
      </w:r>
      <w:r w:rsidR="00706FC8">
        <w:rPr>
          <w:rFonts w:ascii="楷体" w:eastAsia="楷体" w:hAnsi="楷体" w:hint="eastAsia"/>
          <w:color w:val="000000"/>
          <w:sz w:val="24"/>
          <w:szCs w:val="24"/>
        </w:rPr>
        <w:t>本基金</w:t>
      </w:r>
      <w:r w:rsidR="00706FC8" w:rsidRPr="00706FC8">
        <w:rPr>
          <w:rFonts w:ascii="楷体" w:eastAsia="楷体" w:hAnsi="楷体" w:hint="eastAsia"/>
          <w:color w:val="000000"/>
          <w:sz w:val="24"/>
          <w:szCs w:val="24"/>
        </w:rPr>
        <w:t>在2021年年报中披露的</w:t>
      </w:r>
      <w:r w:rsidR="00706FC8">
        <w:rPr>
          <w:rFonts w:ascii="楷体" w:eastAsia="楷体" w:hAnsi="楷体" w:hint="eastAsia"/>
          <w:color w:val="000000"/>
          <w:sz w:val="24"/>
          <w:szCs w:val="24"/>
        </w:rPr>
        <w:t>2</w:t>
      </w:r>
      <w:r w:rsidR="00706FC8">
        <w:rPr>
          <w:rFonts w:ascii="楷体" w:eastAsia="楷体" w:hAnsi="楷体"/>
          <w:color w:val="000000"/>
          <w:sz w:val="24"/>
          <w:szCs w:val="24"/>
        </w:rPr>
        <w:t>021年</w:t>
      </w:r>
      <w:r w:rsidR="00706FC8" w:rsidRPr="00706FC8">
        <w:rPr>
          <w:rFonts w:ascii="楷体" w:eastAsia="楷体" w:hAnsi="楷体" w:hint="eastAsia"/>
          <w:color w:val="000000"/>
          <w:sz w:val="24"/>
          <w:szCs w:val="24"/>
        </w:rPr>
        <w:t>可供分配金额为</w:t>
      </w:r>
      <w:r w:rsidR="00706FC8" w:rsidRPr="00706FC8">
        <w:rPr>
          <w:rFonts w:ascii="楷体" w:eastAsia="楷体" w:hAnsi="楷体"/>
          <w:color w:val="000000"/>
          <w:sz w:val="24"/>
          <w:szCs w:val="24"/>
        </w:rPr>
        <w:t>137,151,587.50</w:t>
      </w:r>
      <w:r w:rsidR="00706FC8" w:rsidRPr="00706FC8">
        <w:rPr>
          <w:rFonts w:ascii="楷体" w:eastAsia="楷体" w:hAnsi="楷体" w:hint="eastAsia"/>
          <w:color w:val="000000"/>
          <w:sz w:val="24"/>
          <w:szCs w:val="24"/>
        </w:rPr>
        <w:t>元，</w:t>
      </w:r>
      <w:r w:rsidR="00706FC8">
        <w:rPr>
          <w:rFonts w:ascii="楷体" w:eastAsia="楷体" w:hAnsi="楷体" w:hint="eastAsia"/>
          <w:color w:val="000000"/>
          <w:sz w:val="24"/>
          <w:szCs w:val="24"/>
        </w:rPr>
        <w:t>在招募说明书中披露的</w:t>
      </w:r>
      <w:r w:rsidR="00706FC8" w:rsidRPr="00706FC8">
        <w:rPr>
          <w:rFonts w:ascii="楷体" w:eastAsia="楷体" w:hAnsi="楷体" w:hint="eastAsia"/>
          <w:color w:val="000000"/>
          <w:sz w:val="24"/>
          <w:szCs w:val="24"/>
        </w:rPr>
        <w:t>2022年度预测的可供分配金额为</w:t>
      </w:r>
      <w:r w:rsidR="00706FC8">
        <w:rPr>
          <w:rFonts w:ascii="楷体" w:eastAsia="楷体" w:hAnsi="楷体"/>
          <w:color w:val="000000"/>
          <w:sz w:val="24"/>
          <w:szCs w:val="24"/>
        </w:rPr>
        <w:t>167,981,610.89</w:t>
      </w:r>
      <w:r w:rsidR="00706FC8" w:rsidRPr="00706FC8">
        <w:rPr>
          <w:rFonts w:ascii="楷体" w:eastAsia="楷体" w:hAnsi="楷体" w:hint="eastAsia"/>
          <w:color w:val="000000"/>
          <w:sz w:val="24"/>
          <w:szCs w:val="24"/>
        </w:rPr>
        <w:t>元</w:t>
      </w:r>
      <w:r w:rsidRPr="00F8785C">
        <w:rPr>
          <w:rFonts w:ascii="楷体" w:eastAsia="楷体" w:hAnsi="楷体" w:hint="eastAsia"/>
          <w:color w:val="000000"/>
          <w:sz w:val="24"/>
          <w:szCs w:val="24"/>
        </w:rPr>
        <w:t>。净现金流分派率的计算方法举例说明如下：</w:t>
      </w:r>
    </w:p>
    <w:p w:rsidR="00653C6B" w:rsidRPr="000E3E81" w:rsidRDefault="00653C6B" w:rsidP="00175F89">
      <w:pPr>
        <w:widowControl/>
        <w:snapToGrid w:val="0"/>
        <w:spacing w:line="360" w:lineRule="auto"/>
        <w:ind w:firstLineChars="200" w:firstLine="480"/>
        <w:jc w:val="both"/>
        <w:rPr>
          <w:rFonts w:ascii="楷体" w:eastAsia="楷体" w:hAnsi="楷体"/>
          <w:color w:val="000000"/>
          <w:sz w:val="24"/>
          <w:szCs w:val="24"/>
        </w:rPr>
      </w:pPr>
      <w:r w:rsidRPr="000E3E81">
        <w:rPr>
          <w:rFonts w:ascii="楷体" w:eastAsia="楷体" w:hAnsi="楷体"/>
          <w:color w:val="000000"/>
          <w:sz w:val="24"/>
          <w:szCs w:val="24"/>
        </w:rPr>
        <w:t>1、投资者在首次发行时买入本基金，买入价格3.700元/份，该投资者的2021年</w:t>
      </w:r>
      <w:r w:rsidR="000E3E81" w:rsidRPr="000E3E81">
        <w:rPr>
          <w:rFonts w:ascii="楷体" w:eastAsia="楷体" w:hAnsi="楷体" w:hint="eastAsia"/>
          <w:color w:val="000000"/>
          <w:sz w:val="24"/>
          <w:szCs w:val="24"/>
        </w:rPr>
        <w:t>测算</w:t>
      </w:r>
      <w:r w:rsidRPr="000E3E81">
        <w:rPr>
          <w:rFonts w:ascii="楷体" w:eastAsia="楷体" w:hAnsi="楷体"/>
          <w:color w:val="000000"/>
          <w:sz w:val="24"/>
          <w:szCs w:val="24"/>
        </w:rPr>
        <w:t>净现金流分派率=</w:t>
      </w:r>
      <w:r w:rsidR="006248BE" w:rsidRPr="000E3E81">
        <w:rPr>
          <w:rFonts w:ascii="楷体" w:eastAsia="楷体" w:hAnsi="楷体" w:hint="eastAsia"/>
          <w:color w:val="000000"/>
          <w:sz w:val="24"/>
          <w:szCs w:val="24"/>
        </w:rPr>
        <w:t>（</w:t>
      </w:r>
      <w:r w:rsidR="006248BE" w:rsidRPr="000E3E81">
        <w:rPr>
          <w:rFonts w:ascii="楷体" w:eastAsia="楷体" w:hAnsi="楷体"/>
          <w:color w:val="000000"/>
          <w:sz w:val="24"/>
          <w:szCs w:val="24"/>
        </w:rPr>
        <w:t>137,151,587.50/500</w:t>
      </w:r>
      <w:r w:rsidR="006248BE" w:rsidRPr="000E3E81">
        <w:rPr>
          <w:rFonts w:ascii="楷体" w:eastAsia="楷体" w:hAnsi="楷体" w:hint="eastAsia"/>
          <w:color w:val="000000"/>
          <w:sz w:val="24"/>
          <w:szCs w:val="24"/>
        </w:rPr>
        <w:t>,</w:t>
      </w:r>
      <w:r w:rsidR="006248BE" w:rsidRPr="000E3E81">
        <w:rPr>
          <w:rFonts w:ascii="楷体" w:eastAsia="楷体" w:hAnsi="楷体"/>
          <w:color w:val="000000"/>
          <w:sz w:val="24"/>
          <w:szCs w:val="24"/>
        </w:rPr>
        <w:t>000</w:t>
      </w:r>
      <w:r w:rsidR="006248BE" w:rsidRPr="000E3E81">
        <w:rPr>
          <w:rFonts w:ascii="楷体" w:eastAsia="楷体" w:hAnsi="楷体" w:hint="eastAsia"/>
          <w:color w:val="000000"/>
          <w:sz w:val="24"/>
          <w:szCs w:val="24"/>
        </w:rPr>
        <w:t>,</w:t>
      </w:r>
      <w:r w:rsidR="006248BE" w:rsidRPr="000E3E81">
        <w:rPr>
          <w:rFonts w:ascii="楷体" w:eastAsia="楷体" w:hAnsi="楷体"/>
          <w:color w:val="000000"/>
          <w:sz w:val="24"/>
          <w:szCs w:val="24"/>
        </w:rPr>
        <w:t>000</w:t>
      </w:r>
      <w:r w:rsidR="006248BE" w:rsidRPr="000E3E81">
        <w:rPr>
          <w:rFonts w:ascii="楷体" w:eastAsia="楷体" w:hAnsi="楷体" w:hint="eastAsia"/>
          <w:color w:val="000000"/>
          <w:sz w:val="24"/>
          <w:szCs w:val="24"/>
        </w:rPr>
        <w:t>）</w:t>
      </w:r>
      <w:r w:rsidRPr="000E3E81">
        <w:rPr>
          <w:rFonts w:ascii="楷体" w:eastAsia="楷体" w:hAnsi="楷体"/>
          <w:color w:val="000000"/>
          <w:sz w:val="24"/>
          <w:szCs w:val="24"/>
        </w:rPr>
        <w:t>/</w:t>
      </w:r>
      <w:r w:rsidR="000E3E81" w:rsidRPr="000E3E81">
        <w:rPr>
          <w:rFonts w:ascii="楷体" w:eastAsia="楷体" w:hAnsi="楷体" w:hint="eastAsia"/>
          <w:color w:val="000000"/>
          <w:sz w:val="24"/>
          <w:szCs w:val="24"/>
        </w:rPr>
        <w:t>3</w:t>
      </w:r>
      <w:r w:rsidR="000E3E81" w:rsidRPr="000E3E81">
        <w:rPr>
          <w:rFonts w:ascii="楷体" w:eastAsia="楷体" w:hAnsi="楷体"/>
          <w:color w:val="000000"/>
          <w:sz w:val="24"/>
          <w:szCs w:val="24"/>
        </w:rPr>
        <w:t>.7</w:t>
      </w:r>
      <w:r w:rsidRPr="000E3E81">
        <w:rPr>
          <w:rFonts w:ascii="楷体" w:eastAsia="楷体" w:hAnsi="楷体"/>
          <w:color w:val="000000"/>
          <w:sz w:val="24"/>
          <w:szCs w:val="24"/>
        </w:rPr>
        <w:t>=</w:t>
      </w:r>
      <w:r w:rsidR="00064182" w:rsidRPr="000E3E81">
        <w:rPr>
          <w:rFonts w:ascii="楷体" w:eastAsia="楷体" w:hAnsi="楷体"/>
          <w:color w:val="000000"/>
          <w:sz w:val="24"/>
          <w:szCs w:val="24"/>
        </w:rPr>
        <w:t>7.41</w:t>
      </w:r>
      <w:r w:rsidRPr="000E3E81">
        <w:rPr>
          <w:rFonts w:ascii="楷体" w:eastAsia="楷体" w:hAnsi="楷体"/>
          <w:color w:val="000000"/>
          <w:sz w:val="24"/>
          <w:szCs w:val="24"/>
        </w:rPr>
        <w:t>%。</w:t>
      </w:r>
    </w:p>
    <w:p w:rsidR="00653C6B" w:rsidRPr="00F8785C" w:rsidRDefault="00653C6B" w:rsidP="00175F89">
      <w:pPr>
        <w:widowControl/>
        <w:snapToGrid w:val="0"/>
        <w:spacing w:line="360" w:lineRule="auto"/>
        <w:ind w:firstLineChars="200" w:firstLine="480"/>
        <w:jc w:val="both"/>
        <w:rPr>
          <w:rFonts w:ascii="楷体" w:eastAsia="楷体" w:hAnsi="楷体"/>
          <w:color w:val="000000"/>
          <w:sz w:val="24"/>
          <w:szCs w:val="24"/>
        </w:rPr>
      </w:pPr>
      <w:r w:rsidRPr="000E3E81">
        <w:rPr>
          <w:rFonts w:ascii="楷体" w:eastAsia="楷体" w:hAnsi="楷体"/>
          <w:color w:val="000000"/>
          <w:sz w:val="24"/>
          <w:szCs w:val="24"/>
        </w:rPr>
        <w:t>2、投资者在</w:t>
      </w:r>
      <w:r w:rsidR="006248BE" w:rsidRPr="000E3E81">
        <w:rPr>
          <w:rFonts w:ascii="楷体" w:eastAsia="楷体" w:hAnsi="楷体" w:hint="eastAsia"/>
          <w:color w:val="000000"/>
          <w:sz w:val="24"/>
          <w:szCs w:val="24"/>
        </w:rPr>
        <w:t>2</w:t>
      </w:r>
      <w:r w:rsidR="006248BE" w:rsidRPr="000E3E81">
        <w:rPr>
          <w:rFonts w:ascii="楷体" w:eastAsia="楷体" w:hAnsi="楷体"/>
          <w:color w:val="000000"/>
          <w:sz w:val="24"/>
          <w:szCs w:val="24"/>
        </w:rPr>
        <w:t>022</w:t>
      </w:r>
      <w:r w:rsidR="006248BE" w:rsidRPr="000E3E81">
        <w:rPr>
          <w:rFonts w:ascii="楷体" w:eastAsia="楷体" w:hAnsi="楷体" w:hint="eastAsia"/>
          <w:color w:val="000000"/>
          <w:sz w:val="24"/>
          <w:szCs w:val="24"/>
        </w:rPr>
        <w:t>年5月2</w:t>
      </w:r>
      <w:r w:rsidR="006248BE" w:rsidRPr="000E3E81">
        <w:rPr>
          <w:rFonts w:ascii="楷体" w:eastAsia="楷体" w:hAnsi="楷体"/>
          <w:color w:val="000000"/>
          <w:sz w:val="24"/>
          <w:szCs w:val="24"/>
        </w:rPr>
        <w:t>0</w:t>
      </w:r>
      <w:r w:rsidR="006248BE" w:rsidRPr="000E3E81">
        <w:rPr>
          <w:rFonts w:ascii="楷体" w:eastAsia="楷体" w:hAnsi="楷体" w:hint="eastAsia"/>
          <w:color w:val="000000"/>
          <w:sz w:val="24"/>
          <w:szCs w:val="24"/>
        </w:rPr>
        <w:t>日</w:t>
      </w:r>
      <w:r w:rsidRPr="000E3E81">
        <w:rPr>
          <w:rFonts w:ascii="楷体" w:eastAsia="楷体" w:hAnsi="楷体"/>
          <w:color w:val="000000"/>
          <w:sz w:val="24"/>
          <w:szCs w:val="24"/>
        </w:rPr>
        <w:t>通过二级市场交易买入本基金，</w:t>
      </w:r>
      <w:r w:rsidR="000E3E81" w:rsidRPr="000E3E81">
        <w:rPr>
          <w:rFonts w:ascii="楷体" w:eastAsia="楷体" w:hAnsi="楷体" w:hint="eastAsia"/>
          <w:color w:val="000000"/>
          <w:sz w:val="24"/>
          <w:szCs w:val="24"/>
        </w:rPr>
        <w:t>假设</w:t>
      </w:r>
      <w:r w:rsidRPr="000E3E81">
        <w:rPr>
          <w:rFonts w:ascii="楷体" w:eastAsia="楷体" w:hAnsi="楷体" w:hint="eastAsia"/>
          <w:color w:val="000000"/>
          <w:sz w:val="24"/>
          <w:szCs w:val="24"/>
        </w:rPr>
        <w:t>买入价格</w:t>
      </w:r>
      <w:r w:rsidR="000E3E81" w:rsidRPr="000E3E81">
        <w:rPr>
          <w:rFonts w:ascii="楷体" w:eastAsia="楷体" w:hAnsi="楷体"/>
          <w:color w:val="000000"/>
          <w:sz w:val="24"/>
          <w:szCs w:val="24"/>
        </w:rPr>
        <w:t>5.333</w:t>
      </w:r>
      <w:r w:rsidRPr="000E3E81">
        <w:rPr>
          <w:rFonts w:ascii="楷体" w:eastAsia="楷体" w:hAnsi="楷体" w:hint="eastAsia"/>
          <w:color w:val="000000"/>
          <w:sz w:val="24"/>
          <w:szCs w:val="24"/>
        </w:rPr>
        <w:t>元</w:t>
      </w:r>
      <w:r w:rsidRPr="000E3E81">
        <w:rPr>
          <w:rFonts w:ascii="楷体" w:eastAsia="楷体" w:hAnsi="楷体"/>
          <w:color w:val="000000"/>
          <w:sz w:val="24"/>
          <w:szCs w:val="24"/>
        </w:rPr>
        <w:t>/份，该投资者的202</w:t>
      </w:r>
      <w:r w:rsidR="006248BE" w:rsidRPr="000E3E81">
        <w:rPr>
          <w:rFonts w:ascii="楷体" w:eastAsia="楷体" w:hAnsi="楷体"/>
          <w:color w:val="000000"/>
          <w:sz w:val="24"/>
          <w:szCs w:val="24"/>
        </w:rPr>
        <w:t>2</w:t>
      </w:r>
      <w:r w:rsidRPr="000E3E81">
        <w:rPr>
          <w:rFonts w:ascii="楷体" w:eastAsia="楷体" w:hAnsi="楷体"/>
          <w:color w:val="000000"/>
          <w:sz w:val="24"/>
          <w:szCs w:val="24"/>
        </w:rPr>
        <w:t>年度净现金流分派率</w:t>
      </w:r>
      <w:r w:rsidR="000E3E81" w:rsidRPr="000E3E81">
        <w:rPr>
          <w:rFonts w:ascii="楷体" w:eastAsia="楷体" w:hAnsi="楷体"/>
          <w:color w:val="000000"/>
          <w:sz w:val="24"/>
          <w:szCs w:val="24"/>
        </w:rPr>
        <w:t>预测值</w:t>
      </w:r>
      <w:r w:rsidRPr="000E3E81">
        <w:rPr>
          <w:rFonts w:ascii="楷体" w:eastAsia="楷体" w:hAnsi="楷体"/>
          <w:color w:val="000000"/>
          <w:sz w:val="24"/>
          <w:szCs w:val="24"/>
        </w:rPr>
        <w:t>=</w:t>
      </w:r>
      <w:r w:rsidR="006248BE" w:rsidRPr="000E3E81">
        <w:rPr>
          <w:rFonts w:ascii="楷体" w:eastAsia="楷体" w:hAnsi="楷体" w:hint="eastAsia"/>
          <w:color w:val="000000"/>
          <w:sz w:val="24"/>
          <w:szCs w:val="24"/>
        </w:rPr>
        <w:t>（</w:t>
      </w:r>
      <w:r w:rsidR="006248BE" w:rsidRPr="000E3E81">
        <w:rPr>
          <w:rFonts w:ascii="楷体" w:eastAsia="楷体" w:hAnsi="楷体"/>
          <w:color w:val="000000"/>
          <w:sz w:val="24"/>
          <w:szCs w:val="24"/>
        </w:rPr>
        <w:t>167,981,610.89/500</w:t>
      </w:r>
      <w:r w:rsidR="006248BE" w:rsidRPr="000E3E81">
        <w:rPr>
          <w:rFonts w:ascii="楷体" w:eastAsia="楷体" w:hAnsi="楷体" w:hint="eastAsia"/>
          <w:color w:val="000000"/>
          <w:sz w:val="24"/>
          <w:szCs w:val="24"/>
        </w:rPr>
        <w:t>,</w:t>
      </w:r>
      <w:r w:rsidR="006248BE" w:rsidRPr="000E3E81">
        <w:rPr>
          <w:rFonts w:ascii="楷体" w:eastAsia="楷体" w:hAnsi="楷体"/>
          <w:color w:val="000000"/>
          <w:sz w:val="24"/>
          <w:szCs w:val="24"/>
        </w:rPr>
        <w:t>000</w:t>
      </w:r>
      <w:r w:rsidR="006248BE" w:rsidRPr="000E3E81">
        <w:rPr>
          <w:rFonts w:ascii="楷体" w:eastAsia="楷体" w:hAnsi="楷体" w:hint="eastAsia"/>
          <w:color w:val="000000"/>
          <w:sz w:val="24"/>
          <w:szCs w:val="24"/>
        </w:rPr>
        <w:t>,</w:t>
      </w:r>
      <w:r w:rsidR="006248BE" w:rsidRPr="000E3E81">
        <w:rPr>
          <w:rFonts w:ascii="楷体" w:eastAsia="楷体" w:hAnsi="楷体"/>
          <w:color w:val="000000"/>
          <w:sz w:val="24"/>
          <w:szCs w:val="24"/>
        </w:rPr>
        <w:t>000</w:t>
      </w:r>
      <w:r w:rsidR="006248BE" w:rsidRPr="000E3E81">
        <w:rPr>
          <w:rFonts w:ascii="楷体" w:eastAsia="楷体" w:hAnsi="楷体" w:hint="eastAsia"/>
          <w:color w:val="000000"/>
          <w:sz w:val="24"/>
          <w:szCs w:val="24"/>
        </w:rPr>
        <w:t>）</w:t>
      </w:r>
      <w:r w:rsidRPr="000E3E81">
        <w:rPr>
          <w:rFonts w:ascii="楷体" w:eastAsia="楷体" w:hAnsi="楷体"/>
          <w:color w:val="000000"/>
          <w:sz w:val="24"/>
          <w:szCs w:val="24"/>
        </w:rPr>
        <w:t>/</w:t>
      </w:r>
      <w:r w:rsidR="000E3E81" w:rsidRPr="000E3E81">
        <w:rPr>
          <w:rFonts w:ascii="楷体" w:eastAsia="楷体" w:hAnsi="楷体"/>
          <w:color w:val="000000"/>
          <w:sz w:val="24"/>
          <w:szCs w:val="24"/>
        </w:rPr>
        <w:t>5.333</w:t>
      </w:r>
      <w:r w:rsidRPr="000E3E81">
        <w:rPr>
          <w:rFonts w:ascii="楷体" w:eastAsia="楷体" w:hAnsi="楷体"/>
          <w:color w:val="000000"/>
          <w:sz w:val="24"/>
          <w:szCs w:val="24"/>
        </w:rPr>
        <w:t>=</w:t>
      </w:r>
      <w:r w:rsidR="000E3E81" w:rsidRPr="000E3E81">
        <w:rPr>
          <w:rFonts w:ascii="楷体" w:eastAsia="楷体" w:hAnsi="楷体"/>
          <w:color w:val="000000"/>
          <w:sz w:val="24"/>
          <w:szCs w:val="24"/>
        </w:rPr>
        <w:t>6.300</w:t>
      </w:r>
      <w:r w:rsidRPr="000E3E81">
        <w:rPr>
          <w:rFonts w:ascii="楷体" w:eastAsia="楷体" w:hAnsi="楷体"/>
          <w:color w:val="000000"/>
          <w:sz w:val="24"/>
          <w:szCs w:val="24"/>
        </w:rPr>
        <w:t>%。</w:t>
      </w:r>
    </w:p>
    <w:p w:rsidR="00F8785C" w:rsidRPr="00F8785C" w:rsidRDefault="00F8785C"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需特别说明的是：</w:t>
      </w:r>
    </w:p>
    <w:p w:rsidR="00F8785C" w:rsidRPr="00F8785C" w:rsidRDefault="00F8785C"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1、以上计算说明中的</w:t>
      </w:r>
      <w:r w:rsidR="006248BE">
        <w:rPr>
          <w:rFonts w:ascii="楷体" w:eastAsia="楷体" w:hAnsi="楷体" w:hint="eastAsia"/>
          <w:color w:val="000000"/>
          <w:sz w:val="24"/>
          <w:szCs w:val="24"/>
        </w:rPr>
        <w:t>2</w:t>
      </w:r>
      <w:r w:rsidR="006248BE">
        <w:rPr>
          <w:rFonts w:ascii="楷体" w:eastAsia="楷体" w:hAnsi="楷体"/>
          <w:color w:val="000000"/>
          <w:sz w:val="24"/>
          <w:szCs w:val="24"/>
        </w:rPr>
        <w:t>022</w:t>
      </w:r>
      <w:r w:rsidR="006248BE">
        <w:rPr>
          <w:rFonts w:ascii="楷体" w:eastAsia="楷体" w:hAnsi="楷体" w:hint="eastAsia"/>
          <w:color w:val="000000"/>
          <w:sz w:val="24"/>
          <w:szCs w:val="24"/>
        </w:rPr>
        <w:t>年可供分配</w:t>
      </w:r>
      <w:r w:rsidRPr="00F8785C">
        <w:rPr>
          <w:rFonts w:ascii="楷体" w:eastAsia="楷体" w:hAnsi="楷体" w:hint="eastAsia"/>
          <w:color w:val="000000"/>
          <w:sz w:val="24"/>
          <w:szCs w:val="24"/>
        </w:rPr>
        <w:t>金额系根据</w:t>
      </w:r>
      <w:r w:rsidR="006248BE" w:rsidRPr="006248BE">
        <w:rPr>
          <w:rFonts w:ascii="楷体" w:eastAsia="楷体" w:hAnsi="楷体" w:hint="eastAsia"/>
          <w:color w:val="000000"/>
          <w:sz w:val="24"/>
          <w:szCs w:val="24"/>
        </w:rPr>
        <w:t>《富国首创水务封闭式基础设施证券投资基金招募说明书》</w:t>
      </w:r>
      <w:r w:rsidR="000E3E81" w:rsidRPr="000E3E81">
        <w:rPr>
          <w:rFonts w:ascii="楷体" w:eastAsia="楷体" w:hAnsi="楷体" w:hint="eastAsia"/>
          <w:color w:val="000000"/>
          <w:sz w:val="24"/>
          <w:szCs w:val="24"/>
        </w:rPr>
        <w:t>披露的预测数据</w:t>
      </w:r>
      <w:r w:rsidRPr="00F8785C">
        <w:rPr>
          <w:rFonts w:ascii="楷体" w:eastAsia="楷体" w:hAnsi="楷体" w:hint="eastAsia"/>
          <w:color w:val="000000"/>
          <w:sz w:val="24"/>
          <w:szCs w:val="24"/>
        </w:rPr>
        <w:t>予以假设，不代表</w:t>
      </w:r>
      <w:r w:rsidR="00064182">
        <w:rPr>
          <w:rFonts w:ascii="楷体" w:eastAsia="楷体" w:hAnsi="楷体" w:hint="eastAsia"/>
          <w:color w:val="000000"/>
          <w:sz w:val="24"/>
          <w:szCs w:val="24"/>
        </w:rPr>
        <w:t>实际</w:t>
      </w:r>
      <w:r w:rsidRPr="00F8785C">
        <w:rPr>
          <w:rFonts w:ascii="楷体" w:eastAsia="楷体" w:hAnsi="楷体" w:hint="eastAsia"/>
          <w:color w:val="000000"/>
          <w:sz w:val="24"/>
          <w:szCs w:val="24"/>
        </w:rPr>
        <w:t>年度的</w:t>
      </w:r>
      <w:r w:rsidR="00064182">
        <w:rPr>
          <w:rFonts w:ascii="楷体" w:eastAsia="楷体" w:hAnsi="楷体" w:hint="eastAsia"/>
          <w:color w:val="000000"/>
          <w:sz w:val="24"/>
          <w:szCs w:val="24"/>
        </w:rPr>
        <w:t>可供分配金额</w:t>
      </w:r>
      <w:r w:rsidRPr="00F8785C">
        <w:rPr>
          <w:rFonts w:ascii="楷体" w:eastAsia="楷体" w:hAnsi="楷体" w:hint="eastAsia"/>
          <w:color w:val="000000"/>
          <w:sz w:val="24"/>
          <w:szCs w:val="24"/>
        </w:rPr>
        <w:t>，如后续年度</w:t>
      </w:r>
      <w:r w:rsidR="00064182">
        <w:rPr>
          <w:rFonts w:ascii="楷体" w:eastAsia="楷体" w:hAnsi="楷体" w:hint="eastAsia"/>
          <w:color w:val="000000"/>
          <w:sz w:val="24"/>
          <w:szCs w:val="24"/>
        </w:rPr>
        <w:t>可供分配</w:t>
      </w:r>
      <w:r w:rsidRPr="00F8785C">
        <w:rPr>
          <w:rFonts w:ascii="楷体" w:eastAsia="楷体" w:hAnsi="楷体" w:hint="eastAsia"/>
          <w:color w:val="000000"/>
          <w:sz w:val="24"/>
          <w:szCs w:val="24"/>
        </w:rPr>
        <w:t>金额降低的，将影响届时净现金流分派率的计算结果。</w:t>
      </w:r>
    </w:p>
    <w:p w:rsidR="00F8785C" w:rsidRPr="00F8785C" w:rsidRDefault="00F8785C"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2、净现金流分派率不等同于基金的收益率。</w:t>
      </w:r>
    </w:p>
    <w:p w:rsidR="00653C6B" w:rsidRPr="00F8785C" w:rsidRDefault="00653C6B" w:rsidP="00653C6B">
      <w:pPr>
        <w:widowControl/>
        <w:snapToGrid w:val="0"/>
        <w:spacing w:line="360" w:lineRule="auto"/>
        <w:ind w:firstLineChars="200" w:firstLine="480"/>
        <w:rPr>
          <w:rFonts w:ascii="楷体" w:eastAsia="楷体" w:hAnsi="楷体"/>
          <w:color w:val="000000"/>
          <w:sz w:val="24"/>
          <w:szCs w:val="24"/>
        </w:rPr>
      </w:pPr>
      <w:r w:rsidRPr="00F8785C">
        <w:rPr>
          <w:rFonts w:ascii="楷体" w:eastAsia="楷体" w:hAnsi="楷体" w:hint="eastAsia"/>
          <w:color w:val="000000"/>
          <w:sz w:val="24"/>
          <w:szCs w:val="24"/>
        </w:rPr>
        <w:t>（三）内部收益率（IRR）说明</w:t>
      </w:r>
    </w:p>
    <w:p w:rsidR="00653C6B" w:rsidRPr="00F8785C" w:rsidRDefault="00653C6B"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内部收益率（IRR）为使得投资基金产生的未来现金流折现现值等于买入成本的收益率。基金管理人测算的内部收益率基于资产评估价值、资产评估报告中的全周期各年净现金流假设数据等假设条件，具体可参见本基金招募说明书。假设投资者持有基金至到期，在未来现金流假设要素与资产评估报告所列的假设条件一致的情况下（即投资者各年净现金流分派情况与假设条件保持一致），随着二级市场交易价格上涨，投资者买入成本随之提高，投资者的实际内部收益率将相应降低。</w:t>
      </w:r>
    </w:p>
    <w:p w:rsidR="00653C6B" w:rsidRPr="00F8785C" w:rsidRDefault="00653C6B"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四）本基金不同于股票、债券或主要投资于股票、债券的基金。本基金80%以上资产投资于污水处理类基础设施项目，在经营环境不发生大幅变化的情况下，随着运营年限的增长，剩余期限内如本基金未扩募新资产，则已持有资产的市场价值逐年降低，进而导致基金净值逐渐降低甚至趋于零。</w:t>
      </w:r>
    </w:p>
    <w:p w:rsidR="00653C6B" w:rsidRPr="00F8785C" w:rsidRDefault="00653C6B" w:rsidP="00175F89">
      <w:pPr>
        <w:widowControl/>
        <w:snapToGrid w:val="0"/>
        <w:spacing w:line="360" w:lineRule="auto"/>
        <w:ind w:firstLineChars="200" w:firstLine="480"/>
        <w:jc w:val="both"/>
        <w:rPr>
          <w:rFonts w:ascii="楷体" w:eastAsia="楷体" w:hAnsi="楷体"/>
          <w:color w:val="000000"/>
          <w:sz w:val="24"/>
          <w:szCs w:val="24"/>
        </w:rPr>
      </w:pPr>
      <w:r w:rsidRPr="00F8785C">
        <w:rPr>
          <w:rFonts w:ascii="楷体" w:eastAsia="楷体" w:hAnsi="楷体" w:hint="eastAsia"/>
          <w:color w:val="000000"/>
          <w:sz w:val="24"/>
          <w:szCs w:val="24"/>
        </w:rPr>
        <w:t>本基金持有项目的特许经营权资产在预计使用年限内进行逐期摊销，在基金年度可供分配金额中加回此部分特许经营权摊销，并以不低于基金年度可供分配金额的90%进行收益分配。在本基金存续期间，投资者仅可通过收益分配或二级市场交易获得现金流，投资者买入本基金不存在到期后还本付息的情况。</w:t>
      </w:r>
    </w:p>
    <w:p w:rsidR="00653C6B" w:rsidRDefault="00653C6B" w:rsidP="008669EF">
      <w:pPr>
        <w:pStyle w:val="a3"/>
        <w:snapToGrid w:val="0"/>
        <w:spacing w:before="0" w:beforeAutospacing="0" w:after="0" w:afterAutospacing="0" w:line="240" w:lineRule="auto"/>
        <w:ind w:firstLine="480"/>
        <w:jc w:val="both"/>
        <w:rPr>
          <w:rFonts w:ascii="Times New Roman" w:eastAsia="楷体_GB2312" w:hAnsi="Times New Roman" w:cs="Times New Roman"/>
        </w:rPr>
      </w:pPr>
    </w:p>
    <w:p w:rsidR="00653C6B" w:rsidRDefault="00653C6B" w:rsidP="008669EF">
      <w:pPr>
        <w:pStyle w:val="a3"/>
        <w:snapToGrid w:val="0"/>
        <w:spacing w:before="0" w:beforeAutospacing="0" w:after="0" w:afterAutospacing="0" w:line="240" w:lineRule="auto"/>
        <w:ind w:firstLine="480"/>
        <w:jc w:val="both"/>
        <w:rPr>
          <w:rFonts w:ascii="Times New Roman" w:eastAsia="楷体_GB2312" w:hAnsi="Times New Roman" w:cs="Times New Roman"/>
        </w:rPr>
      </w:pPr>
    </w:p>
    <w:p w:rsidR="009C415D" w:rsidRPr="00F8785C" w:rsidRDefault="00F8785C" w:rsidP="001B445F">
      <w:pPr>
        <w:widowControl/>
        <w:snapToGrid w:val="0"/>
        <w:spacing w:line="360" w:lineRule="auto"/>
        <w:ind w:firstLineChars="200" w:firstLine="480"/>
        <w:rPr>
          <w:rFonts w:ascii="楷体" w:eastAsia="楷体" w:hAnsi="楷体"/>
          <w:b/>
          <w:color w:val="000000"/>
          <w:sz w:val="24"/>
          <w:szCs w:val="24"/>
        </w:rPr>
      </w:pPr>
      <w:r>
        <w:rPr>
          <w:rFonts w:ascii="楷体" w:eastAsia="楷体" w:hAnsi="楷体"/>
          <w:b/>
          <w:color w:val="000000"/>
          <w:sz w:val="24"/>
          <w:szCs w:val="24"/>
        </w:rPr>
        <w:t>五</w:t>
      </w:r>
      <w:r w:rsidR="009C415D" w:rsidRPr="00F8785C">
        <w:rPr>
          <w:rFonts w:ascii="楷体" w:eastAsia="楷体" w:hAnsi="楷体" w:hint="eastAsia"/>
          <w:b/>
          <w:color w:val="000000"/>
          <w:sz w:val="24"/>
          <w:szCs w:val="24"/>
        </w:rPr>
        <w:t>、相关机构联系方式</w:t>
      </w:r>
    </w:p>
    <w:p w:rsidR="00F8785C" w:rsidRPr="00F8785C" w:rsidRDefault="00F8785C" w:rsidP="00F8785C">
      <w:pPr>
        <w:widowControl/>
        <w:snapToGrid w:val="0"/>
        <w:spacing w:line="360" w:lineRule="auto"/>
        <w:ind w:firstLineChars="200" w:firstLine="480"/>
        <w:rPr>
          <w:rFonts w:ascii="楷体" w:eastAsia="楷体" w:hAnsi="楷体"/>
          <w:color w:val="000000"/>
          <w:sz w:val="24"/>
          <w:szCs w:val="24"/>
        </w:rPr>
      </w:pPr>
      <w:r w:rsidRPr="00F8785C">
        <w:rPr>
          <w:rFonts w:ascii="楷体" w:eastAsia="楷体" w:hAnsi="楷体" w:hint="eastAsia"/>
          <w:color w:val="000000"/>
          <w:sz w:val="24"/>
          <w:szCs w:val="24"/>
        </w:rPr>
        <w:t>投资者可以登陆本公司网站www.fullgoal.com.cn或拨打本公司客户服务热线95105686、4008880688（全国统一，均免长途费）进行相关咨询。</w:t>
      </w:r>
    </w:p>
    <w:p w:rsidR="00F8785C" w:rsidRPr="00F8785C" w:rsidRDefault="00F8785C" w:rsidP="008669EF">
      <w:pPr>
        <w:pStyle w:val="a3"/>
        <w:snapToGrid w:val="0"/>
        <w:spacing w:before="0" w:beforeAutospacing="0" w:after="0" w:afterAutospacing="0" w:line="240" w:lineRule="auto"/>
        <w:ind w:firstLine="482"/>
        <w:jc w:val="both"/>
        <w:rPr>
          <w:rFonts w:ascii="Times New Roman" w:eastAsia="楷体_GB2312" w:hAnsi="Times New Roman" w:cs="Times New Roman"/>
          <w:b/>
        </w:rPr>
      </w:pPr>
    </w:p>
    <w:p w:rsidR="009C415D" w:rsidRPr="00F8785C" w:rsidRDefault="00F8785C" w:rsidP="001B445F">
      <w:pPr>
        <w:widowControl/>
        <w:snapToGrid w:val="0"/>
        <w:spacing w:line="360" w:lineRule="auto"/>
        <w:ind w:firstLineChars="200" w:firstLine="480"/>
        <w:rPr>
          <w:rFonts w:ascii="楷体" w:eastAsia="楷体" w:hAnsi="楷体"/>
          <w:b/>
          <w:color w:val="000000"/>
          <w:sz w:val="24"/>
          <w:szCs w:val="24"/>
        </w:rPr>
      </w:pPr>
      <w:r>
        <w:rPr>
          <w:rFonts w:ascii="楷体" w:eastAsia="楷体" w:hAnsi="楷体"/>
          <w:b/>
          <w:color w:val="000000"/>
          <w:sz w:val="24"/>
          <w:szCs w:val="24"/>
        </w:rPr>
        <w:t>六</w:t>
      </w:r>
      <w:r w:rsidR="008669EF" w:rsidRPr="00F8785C">
        <w:rPr>
          <w:rFonts w:ascii="楷体" w:eastAsia="楷体" w:hAnsi="楷体" w:hint="eastAsia"/>
          <w:b/>
          <w:color w:val="000000"/>
          <w:sz w:val="24"/>
          <w:szCs w:val="24"/>
        </w:rPr>
        <w:t>、风险提示</w:t>
      </w:r>
    </w:p>
    <w:p w:rsidR="00F8785C" w:rsidRPr="00F8785C" w:rsidRDefault="00F8785C" w:rsidP="00F8785C">
      <w:pPr>
        <w:widowControl/>
        <w:snapToGrid w:val="0"/>
        <w:spacing w:line="360" w:lineRule="auto"/>
        <w:ind w:firstLineChars="200" w:firstLine="480"/>
        <w:rPr>
          <w:rFonts w:ascii="楷体" w:eastAsia="楷体" w:hAnsi="楷体"/>
          <w:color w:val="000000"/>
          <w:sz w:val="24"/>
          <w:szCs w:val="24"/>
        </w:rPr>
      </w:pPr>
      <w:r w:rsidRPr="00F8785C">
        <w:rPr>
          <w:rFonts w:ascii="楷体" w:eastAsia="楷体" w:hAnsi="楷体" w:hint="eastAsia"/>
          <w:color w:val="000000"/>
          <w:sz w:val="24"/>
          <w:szCs w:val="24"/>
        </w:rPr>
        <w:t>基金管理人承诺以诚实信用、勤勉尽责的原则管理和运用基金资产，但不保证一定盈利，也不保证最低收益。敬请投资者注意投资风险。投资者投资于本基金前应认真阅读本基金的基金合同和招募说明书。</w:t>
      </w:r>
    </w:p>
    <w:p w:rsidR="00F8785C" w:rsidRPr="00F8785C" w:rsidRDefault="00F8785C" w:rsidP="00F8785C">
      <w:pPr>
        <w:widowControl/>
        <w:snapToGrid w:val="0"/>
        <w:spacing w:line="360" w:lineRule="auto"/>
        <w:ind w:firstLineChars="200" w:firstLine="480"/>
        <w:rPr>
          <w:rFonts w:ascii="楷体" w:eastAsia="楷体" w:hAnsi="楷体"/>
          <w:color w:val="000000"/>
          <w:sz w:val="24"/>
          <w:szCs w:val="24"/>
        </w:rPr>
      </w:pPr>
      <w:r w:rsidRPr="00F8785C">
        <w:rPr>
          <w:rFonts w:ascii="楷体" w:eastAsia="楷体" w:hAnsi="楷体" w:hint="eastAsia"/>
          <w:color w:val="000000"/>
          <w:sz w:val="24"/>
          <w:szCs w:val="24"/>
        </w:rPr>
        <w:t>本公告的解释权归本公司所有。</w:t>
      </w:r>
    </w:p>
    <w:p w:rsidR="00F8785C" w:rsidRPr="00F8785C" w:rsidRDefault="00F8785C" w:rsidP="00F8785C">
      <w:pPr>
        <w:widowControl/>
        <w:snapToGrid w:val="0"/>
        <w:spacing w:line="360" w:lineRule="auto"/>
        <w:ind w:firstLineChars="200" w:firstLine="480"/>
        <w:rPr>
          <w:rFonts w:ascii="楷体" w:eastAsia="楷体" w:hAnsi="楷体"/>
          <w:color w:val="000000"/>
          <w:sz w:val="24"/>
          <w:szCs w:val="24"/>
        </w:rPr>
      </w:pPr>
      <w:r w:rsidRPr="00F8785C">
        <w:rPr>
          <w:rFonts w:ascii="楷体" w:eastAsia="楷体" w:hAnsi="楷体" w:hint="eastAsia"/>
          <w:color w:val="000000"/>
          <w:sz w:val="24"/>
          <w:szCs w:val="24"/>
        </w:rPr>
        <w:t>特此公告。</w:t>
      </w:r>
    </w:p>
    <w:p w:rsidR="00F8785C" w:rsidRPr="00F8785C" w:rsidRDefault="00F8785C" w:rsidP="00F8785C">
      <w:pPr>
        <w:widowControl/>
        <w:snapToGrid w:val="0"/>
        <w:spacing w:line="360" w:lineRule="auto"/>
        <w:ind w:firstLineChars="200" w:firstLine="480"/>
        <w:rPr>
          <w:rFonts w:ascii="楷体" w:eastAsia="楷体" w:hAnsi="楷体"/>
          <w:color w:val="000000"/>
          <w:sz w:val="24"/>
          <w:szCs w:val="24"/>
        </w:rPr>
      </w:pPr>
    </w:p>
    <w:p w:rsidR="00F8785C" w:rsidRPr="00F8785C" w:rsidRDefault="00F8785C" w:rsidP="00F8785C">
      <w:pPr>
        <w:spacing w:line="360" w:lineRule="auto"/>
        <w:jc w:val="right"/>
        <w:rPr>
          <w:rFonts w:ascii="楷体" w:eastAsia="楷体" w:hAnsi="楷体"/>
          <w:sz w:val="24"/>
          <w:szCs w:val="24"/>
        </w:rPr>
      </w:pPr>
      <w:r w:rsidRPr="00F8785C">
        <w:rPr>
          <w:rFonts w:ascii="楷体" w:eastAsia="楷体" w:hAnsi="楷体" w:hint="eastAsia"/>
          <w:sz w:val="24"/>
          <w:szCs w:val="24"/>
        </w:rPr>
        <w:t>富国基金管理有限公司</w:t>
      </w:r>
    </w:p>
    <w:p w:rsidR="00F8785C" w:rsidRPr="00F8785C" w:rsidRDefault="00F8785C" w:rsidP="00F8785C">
      <w:pPr>
        <w:spacing w:line="360" w:lineRule="auto"/>
        <w:jc w:val="right"/>
        <w:rPr>
          <w:rFonts w:ascii="楷体" w:eastAsia="楷体" w:hAnsi="楷体"/>
          <w:sz w:val="24"/>
          <w:szCs w:val="24"/>
        </w:rPr>
      </w:pPr>
      <w:r w:rsidRPr="00F8785C">
        <w:rPr>
          <w:rFonts w:ascii="楷体" w:eastAsia="楷体" w:hAnsi="楷体" w:hint="eastAsia"/>
          <w:sz w:val="24"/>
          <w:szCs w:val="24"/>
        </w:rPr>
        <w:t>202</w:t>
      </w:r>
      <w:r w:rsidRPr="00F8785C">
        <w:rPr>
          <w:rFonts w:ascii="楷体" w:eastAsia="楷体" w:hAnsi="楷体"/>
          <w:sz w:val="24"/>
          <w:szCs w:val="24"/>
        </w:rPr>
        <w:t>2</w:t>
      </w:r>
      <w:r w:rsidRPr="00F8785C">
        <w:rPr>
          <w:rFonts w:ascii="楷体" w:eastAsia="楷体" w:hAnsi="楷体" w:hint="eastAsia"/>
          <w:sz w:val="24"/>
          <w:szCs w:val="24"/>
        </w:rPr>
        <w:t>年</w:t>
      </w:r>
      <w:r>
        <w:rPr>
          <w:rFonts w:ascii="楷体" w:eastAsia="楷体" w:hAnsi="楷体"/>
          <w:sz w:val="24"/>
          <w:szCs w:val="24"/>
        </w:rPr>
        <w:t>05</w:t>
      </w:r>
      <w:r w:rsidRPr="00F8785C">
        <w:rPr>
          <w:rFonts w:ascii="楷体" w:eastAsia="楷体" w:hAnsi="楷体" w:hint="eastAsia"/>
          <w:sz w:val="24"/>
          <w:szCs w:val="24"/>
        </w:rPr>
        <w:t>月</w:t>
      </w:r>
      <w:r w:rsidR="00190AB0">
        <w:rPr>
          <w:rFonts w:ascii="楷体" w:eastAsia="楷体" w:hAnsi="楷体"/>
          <w:sz w:val="24"/>
          <w:szCs w:val="24"/>
        </w:rPr>
        <w:t>23</w:t>
      </w:r>
      <w:bookmarkStart w:id="1" w:name="_GoBack"/>
      <w:bookmarkEnd w:id="1"/>
      <w:r w:rsidRPr="00F8785C">
        <w:rPr>
          <w:rFonts w:ascii="楷体" w:eastAsia="楷体" w:hAnsi="楷体" w:hint="eastAsia"/>
          <w:sz w:val="24"/>
          <w:szCs w:val="24"/>
        </w:rPr>
        <w:t>日</w:t>
      </w:r>
    </w:p>
    <w:p w:rsidR="00F8785C" w:rsidRDefault="00F8785C" w:rsidP="00055197"/>
    <w:sectPr w:rsidR="00F8785C" w:rsidSect="00874A75">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240" w16cex:dateUtc="2022-05-20T03:38:00Z"/>
  <w16cex:commentExtensible w16cex:durableId="26321241" w16cex:dateUtc="2022-05-20T0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CFAE2" w16cid:durableId="26321240"/>
  <w16cid:commentId w16cid:paraId="43F48D86" w16cid:durableId="263212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32" w:rsidRDefault="00650832" w:rsidP="009C415D">
      <w:r>
        <w:separator/>
      </w:r>
    </w:p>
  </w:endnote>
  <w:endnote w:type="continuationSeparator" w:id="0">
    <w:p w:rsidR="00650832" w:rsidRDefault="00650832" w:rsidP="009C4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32" w:rsidRDefault="00650832" w:rsidP="009C415D">
      <w:r>
        <w:separator/>
      </w:r>
    </w:p>
  </w:footnote>
  <w:footnote w:type="continuationSeparator" w:id="0">
    <w:p w:rsidR="00650832" w:rsidRDefault="00650832" w:rsidP="009C4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6762F"/>
    <w:multiLevelType w:val="singleLevel"/>
    <w:tmpl w:val="91F676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15D"/>
    <w:rsid w:val="000245F6"/>
    <w:rsid w:val="00027128"/>
    <w:rsid w:val="00055197"/>
    <w:rsid w:val="00064182"/>
    <w:rsid w:val="000739E1"/>
    <w:rsid w:val="000D2DE3"/>
    <w:rsid w:val="000E3E81"/>
    <w:rsid w:val="00126663"/>
    <w:rsid w:val="00147FCC"/>
    <w:rsid w:val="001533A5"/>
    <w:rsid w:val="00175F89"/>
    <w:rsid w:val="00190AB0"/>
    <w:rsid w:val="001B445F"/>
    <w:rsid w:val="001B5D77"/>
    <w:rsid w:val="00233241"/>
    <w:rsid w:val="00331AEA"/>
    <w:rsid w:val="00350399"/>
    <w:rsid w:val="00381A22"/>
    <w:rsid w:val="003A00DA"/>
    <w:rsid w:val="00444095"/>
    <w:rsid w:val="00474EB3"/>
    <w:rsid w:val="00487575"/>
    <w:rsid w:val="00492F9A"/>
    <w:rsid w:val="004A4220"/>
    <w:rsid w:val="005051B6"/>
    <w:rsid w:val="005561E8"/>
    <w:rsid w:val="00561FDE"/>
    <w:rsid w:val="005A7AEB"/>
    <w:rsid w:val="00603907"/>
    <w:rsid w:val="0061286B"/>
    <w:rsid w:val="00616D31"/>
    <w:rsid w:val="006248BE"/>
    <w:rsid w:val="00650832"/>
    <w:rsid w:val="00653C6B"/>
    <w:rsid w:val="00653C9B"/>
    <w:rsid w:val="00706FC8"/>
    <w:rsid w:val="00732E64"/>
    <w:rsid w:val="007C63FF"/>
    <w:rsid w:val="007D5AD9"/>
    <w:rsid w:val="007D5B9C"/>
    <w:rsid w:val="008124D8"/>
    <w:rsid w:val="00842A8F"/>
    <w:rsid w:val="008669EF"/>
    <w:rsid w:val="00874A75"/>
    <w:rsid w:val="00885943"/>
    <w:rsid w:val="00924EF9"/>
    <w:rsid w:val="00954CD8"/>
    <w:rsid w:val="00983FD5"/>
    <w:rsid w:val="009B2F12"/>
    <w:rsid w:val="009B6882"/>
    <w:rsid w:val="009C29F3"/>
    <w:rsid w:val="009C415D"/>
    <w:rsid w:val="00A638E4"/>
    <w:rsid w:val="00AD5894"/>
    <w:rsid w:val="00AE6A89"/>
    <w:rsid w:val="00B30524"/>
    <w:rsid w:val="00C5126C"/>
    <w:rsid w:val="00C62731"/>
    <w:rsid w:val="00D53425"/>
    <w:rsid w:val="00DE3CD5"/>
    <w:rsid w:val="00E12612"/>
    <w:rsid w:val="00E20B77"/>
    <w:rsid w:val="00E32954"/>
    <w:rsid w:val="00E8649C"/>
    <w:rsid w:val="00ED37A2"/>
    <w:rsid w:val="00EE608D"/>
    <w:rsid w:val="00F26ED8"/>
    <w:rsid w:val="00F87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B"/>
    <w:pPr>
      <w:widowControl w:val="0"/>
      <w:autoSpaceDE w:val="0"/>
      <w:autoSpaceDN w:val="0"/>
      <w:adjustRightInd w:val="0"/>
      <w:textAlignment w:val="baseline"/>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415D"/>
    <w:pPr>
      <w:widowControl/>
      <w:autoSpaceDE/>
      <w:autoSpaceDN/>
      <w:adjustRightInd/>
      <w:spacing w:before="100" w:beforeAutospacing="1" w:after="100" w:afterAutospacing="1" w:line="560" w:lineRule="exact"/>
      <w:ind w:firstLineChars="200" w:firstLine="200"/>
      <w:textAlignment w:val="auto"/>
    </w:pPr>
    <w:rPr>
      <w:rFonts w:ascii="宋体" w:hAnsi="宋体" w:cs="宋体"/>
      <w:color w:val="000000"/>
      <w:sz w:val="24"/>
      <w:szCs w:val="24"/>
    </w:rPr>
  </w:style>
  <w:style w:type="character" w:styleId="a4">
    <w:name w:val="annotation reference"/>
    <w:rsid w:val="009C415D"/>
    <w:rPr>
      <w:sz w:val="21"/>
      <w:szCs w:val="21"/>
    </w:rPr>
  </w:style>
  <w:style w:type="paragraph" w:styleId="a5">
    <w:name w:val="annotation text"/>
    <w:basedOn w:val="a"/>
    <w:link w:val="Char"/>
    <w:rsid w:val="009C415D"/>
  </w:style>
  <w:style w:type="character" w:customStyle="1" w:styleId="Char">
    <w:name w:val="批注文字 Char"/>
    <w:basedOn w:val="a0"/>
    <w:link w:val="a5"/>
    <w:rsid w:val="009C415D"/>
    <w:rPr>
      <w:rFonts w:ascii="Times New Roman" w:eastAsia="宋体" w:hAnsi="Times New Roman" w:cs="Times New Roman"/>
      <w:kern w:val="0"/>
      <w:sz w:val="20"/>
      <w:szCs w:val="20"/>
    </w:rPr>
  </w:style>
  <w:style w:type="paragraph" w:styleId="a6">
    <w:name w:val="footnote text"/>
    <w:basedOn w:val="a"/>
    <w:link w:val="Char0"/>
    <w:rsid w:val="009C415D"/>
    <w:pPr>
      <w:snapToGrid w:val="0"/>
    </w:pPr>
    <w:rPr>
      <w:sz w:val="18"/>
      <w:szCs w:val="18"/>
    </w:rPr>
  </w:style>
  <w:style w:type="character" w:customStyle="1" w:styleId="Char0">
    <w:name w:val="脚注文本 Char"/>
    <w:basedOn w:val="a0"/>
    <w:link w:val="a6"/>
    <w:rsid w:val="009C415D"/>
    <w:rPr>
      <w:rFonts w:ascii="Times New Roman" w:eastAsia="宋体" w:hAnsi="Times New Roman" w:cs="Times New Roman"/>
      <w:kern w:val="0"/>
      <w:sz w:val="18"/>
      <w:szCs w:val="18"/>
    </w:rPr>
  </w:style>
  <w:style w:type="character" w:styleId="a7">
    <w:name w:val="footnote reference"/>
    <w:rsid w:val="009C415D"/>
    <w:rPr>
      <w:vertAlign w:val="superscript"/>
    </w:rPr>
  </w:style>
  <w:style w:type="paragraph" w:styleId="a8">
    <w:name w:val="Balloon Text"/>
    <w:basedOn w:val="a"/>
    <w:link w:val="Char1"/>
    <w:uiPriority w:val="99"/>
    <w:semiHidden/>
    <w:unhideWhenUsed/>
    <w:rsid w:val="009C415D"/>
    <w:rPr>
      <w:sz w:val="18"/>
      <w:szCs w:val="18"/>
    </w:rPr>
  </w:style>
  <w:style w:type="character" w:customStyle="1" w:styleId="Char1">
    <w:name w:val="批注框文本 Char"/>
    <w:basedOn w:val="a0"/>
    <w:link w:val="a8"/>
    <w:uiPriority w:val="99"/>
    <w:semiHidden/>
    <w:rsid w:val="009C415D"/>
    <w:rPr>
      <w:rFonts w:ascii="Times New Roman" w:eastAsia="宋体" w:hAnsi="Times New Roman" w:cs="Times New Roman"/>
      <w:kern w:val="0"/>
      <w:sz w:val="18"/>
      <w:szCs w:val="18"/>
    </w:rPr>
  </w:style>
  <w:style w:type="paragraph" w:styleId="a9">
    <w:name w:val="header"/>
    <w:basedOn w:val="a"/>
    <w:link w:val="Char2"/>
    <w:uiPriority w:val="99"/>
    <w:unhideWhenUsed/>
    <w:rsid w:val="006128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1286B"/>
    <w:rPr>
      <w:rFonts w:ascii="Times New Roman" w:eastAsia="宋体" w:hAnsi="Times New Roman" w:cs="Times New Roman"/>
      <w:kern w:val="0"/>
      <w:sz w:val="18"/>
      <w:szCs w:val="18"/>
    </w:rPr>
  </w:style>
  <w:style w:type="paragraph" w:styleId="aa">
    <w:name w:val="footer"/>
    <w:basedOn w:val="a"/>
    <w:link w:val="Char3"/>
    <w:uiPriority w:val="99"/>
    <w:unhideWhenUsed/>
    <w:rsid w:val="0061286B"/>
    <w:pPr>
      <w:tabs>
        <w:tab w:val="center" w:pos="4153"/>
        <w:tab w:val="right" w:pos="8306"/>
      </w:tabs>
      <w:snapToGrid w:val="0"/>
    </w:pPr>
    <w:rPr>
      <w:sz w:val="18"/>
      <w:szCs w:val="18"/>
    </w:rPr>
  </w:style>
  <w:style w:type="character" w:customStyle="1" w:styleId="Char3">
    <w:name w:val="页脚 Char"/>
    <w:basedOn w:val="a0"/>
    <w:link w:val="aa"/>
    <w:uiPriority w:val="99"/>
    <w:rsid w:val="0061286B"/>
    <w:rPr>
      <w:rFonts w:ascii="Times New Roman" w:eastAsia="宋体" w:hAnsi="Times New Roman" w:cs="Times New Roman"/>
      <w:kern w:val="0"/>
      <w:sz w:val="18"/>
      <w:szCs w:val="18"/>
    </w:rPr>
  </w:style>
  <w:style w:type="paragraph" w:styleId="ab">
    <w:name w:val="annotation subject"/>
    <w:basedOn w:val="a5"/>
    <w:next w:val="a5"/>
    <w:link w:val="Char4"/>
    <w:uiPriority w:val="99"/>
    <w:semiHidden/>
    <w:unhideWhenUsed/>
    <w:rsid w:val="00561FDE"/>
    <w:rPr>
      <w:b/>
      <w:bCs/>
    </w:rPr>
  </w:style>
  <w:style w:type="character" w:customStyle="1" w:styleId="Char4">
    <w:name w:val="批注主题 Char"/>
    <w:basedOn w:val="Char"/>
    <w:link w:val="ab"/>
    <w:uiPriority w:val="99"/>
    <w:semiHidden/>
    <w:rsid w:val="00561FDE"/>
    <w:rPr>
      <w:rFonts w:ascii="Times New Roman" w:eastAsia="宋体" w:hAnsi="Times New Roman" w:cs="Times New Roman"/>
      <w:b/>
      <w:bCs/>
      <w:kern w:val="0"/>
      <w:sz w:val="20"/>
      <w:szCs w:val="20"/>
    </w:rPr>
  </w:style>
  <w:style w:type="paragraph" w:styleId="ac">
    <w:name w:val="Revision"/>
    <w:hidden/>
    <w:uiPriority w:val="99"/>
    <w:semiHidden/>
    <w:rsid w:val="00AD5894"/>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018852357">
      <w:bodyDiv w:val="1"/>
      <w:marLeft w:val="0"/>
      <w:marRight w:val="0"/>
      <w:marTop w:val="0"/>
      <w:marBottom w:val="0"/>
      <w:divBdr>
        <w:top w:val="none" w:sz="0" w:space="0" w:color="auto"/>
        <w:left w:val="none" w:sz="0" w:space="0" w:color="auto"/>
        <w:bottom w:val="none" w:sz="0" w:space="0" w:color="auto"/>
        <w:right w:val="none" w:sz="0" w:space="0" w:color="auto"/>
      </w:divBdr>
    </w:div>
    <w:div w:id="18923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2645</Characters>
  <Application>Microsoft Office Word</Application>
  <DocSecurity>4</DocSecurity>
  <Lines>22</Lines>
  <Paragraphs>6</Paragraphs>
  <ScaleCrop>false</ScaleCrop>
  <Company>P R C</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 Wang</dc:creator>
  <cp:lastModifiedBy>ZHONGM</cp:lastModifiedBy>
  <cp:revision>2</cp:revision>
  <dcterms:created xsi:type="dcterms:W3CDTF">2022-05-22T16:01:00Z</dcterms:created>
  <dcterms:modified xsi:type="dcterms:W3CDTF">2022-05-22T16:01:00Z</dcterms:modified>
</cp:coreProperties>
</file>