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DA" w:rsidRDefault="00956F62">
      <w:pPr>
        <w:jc w:val="center"/>
        <w:rPr>
          <w:rFonts w:ascii="微软雅黑" w:eastAsia="微软雅黑" w:hAnsi="微软雅黑" w:cs="宋体"/>
          <w:b/>
          <w:bCs/>
          <w:color w:val="333333"/>
          <w:kern w:val="0"/>
          <w:sz w:val="32"/>
          <w:szCs w:val="32"/>
        </w:rPr>
      </w:pPr>
      <w:bookmarkStart w:id="0" w:name="OLE_LINK35"/>
      <w:bookmarkStart w:id="1" w:name="OLE_LINK36"/>
      <w:r>
        <w:rPr>
          <w:rFonts w:ascii="微软雅黑" w:eastAsia="微软雅黑" w:hAnsi="微软雅黑" w:cs="宋体" w:hint="eastAsia"/>
          <w:b/>
          <w:bCs/>
          <w:color w:val="333333"/>
          <w:kern w:val="0"/>
          <w:sz w:val="32"/>
          <w:szCs w:val="32"/>
        </w:rPr>
        <w:t>中加基金管理有限公司关于</w:t>
      </w:r>
      <w:r>
        <w:rPr>
          <w:rFonts w:ascii="微软雅黑" w:eastAsia="微软雅黑" w:hAnsi="微软雅黑" w:cs="宋体" w:hint="eastAsia"/>
          <w:b/>
          <w:bCs/>
          <w:color w:val="333333"/>
          <w:kern w:val="0"/>
          <w:sz w:val="32"/>
          <w:szCs w:val="32"/>
          <w:lang/>
        </w:rPr>
        <w:t>终止</w:t>
      </w:r>
      <w:bookmarkStart w:id="2" w:name="OLE_LINK5"/>
      <w:bookmarkStart w:id="3" w:name="OLE_LINK6"/>
      <w:bookmarkStart w:id="4" w:name="OLE_LINK1"/>
      <w:bookmarkStart w:id="5" w:name="OLE_LINK2"/>
      <w:r>
        <w:rPr>
          <w:rFonts w:ascii="微软雅黑" w:eastAsia="微软雅黑" w:hAnsi="微软雅黑" w:cs="宋体"/>
          <w:b/>
          <w:bCs/>
          <w:color w:val="333333"/>
          <w:kern w:val="0"/>
          <w:sz w:val="32"/>
          <w:szCs w:val="32"/>
        </w:rPr>
        <w:t>北京晟视天下基金销售有限公司</w:t>
      </w:r>
      <w:bookmarkEnd w:id="2"/>
      <w:bookmarkEnd w:id="3"/>
      <w:r>
        <w:rPr>
          <w:rFonts w:ascii="微软雅黑" w:eastAsia="微软雅黑" w:hAnsi="微软雅黑" w:cs="宋体" w:hint="eastAsia"/>
          <w:b/>
          <w:bCs/>
          <w:color w:val="333333"/>
          <w:kern w:val="0"/>
          <w:sz w:val="32"/>
          <w:szCs w:val="32"/>
        </w:rPr>
        <w:t>、</w:t>
      </w:r>
      <w:r>
        <w:rPr>
          <w:rFonts w:ascii="微软雅黑" w:eastAsia="微软雅黑" w:hAnsi="微软雅黑" w:cs="宋体"/>
          <w:b/>
          <w:bCs/>
          <w:color w:val="333333"/>
          <w:kern w:val="0"/>
          <w:sz w:val="32"/>
          <w:szCs w:val="32"/>
        </w:rPr>
        <w:t>北京植信基金销售有限公司</w:t>
      </w:r>
      <w:r>
        <w:rPr>
          <w:rFonts w:ascii="微软雅黑" w:eastAsia="微软雅黑" w:hAnsi="微软雅黑" w:cs="宋体" w:hint="eastAsia"/>
          <w:b/>
          <w:bCs/>
          <w:color w:val="333333"/>
          <w:kern w:val="0"/>
          <w:sz w:val="32"/>
          <w:szCs w:val="32"/>
        </w:rPr>
        <w:t>、</w:t>
      </w:r>
      <w:r>
        <w:rPr>
          <w:rFonts w:ascii="微软雅黑" w:eastAsia="微软雅黑" w:hAnsi="微软雅黑" w:cs="宋体"/>
          <w:b/>
          <w:bCs/>
          <w:color w:val="333333"/>
          <w:kern w:val="0"/>
          <w:sz w:val="32"/>
          <w:szCs w:val="32"/>
        </w:rPr>
        <w:t>北京唐鼎耀华基金销售有限公司</w:t>
      </w:r>
      <w:bookmarkEnd w:id="4"/>
      <w:bookmarkEnd w:id="5"/>
      <w:r>
        <w:rPr>
          <w:rFonts w:ascii="微软雅黑" w:eastAsia="微软雅黑" w:hAnsi="微软雅黑" w:cs="宋体" w:hint="eastAsia"/>
          <w:b/>
          <w:bCs/>
          <w:color w:val="333333"/>
          <w:kern w:val="0"/>
          <w:sz w:val="32"/>
          <w:szCs w:val="32"/>
        </w:rPr>
        <w:t>办理旗下基金相关销售业务的公告</w:t>
      </w:r>
    </w:p>
    <w:bookmarkEnd w:id="0"/>
    <w:bookmarkEnd w:id="1"/>
    <w:p w:rsidR="000E48DA" w:rsidRDefault="000E48DA">
      <w:pPr>
        <w:spacing w:line="360" w:lineRule="auto"/>
        <w:ind w:firstLineChars="200" w:firstLine="480"/>
      </w:pP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因中植集团整合旗下基金销售公司，北京晟视天下基金销售有限公司、北京植信基金销售有限公司、北京唐鼎耀华基金销售有限公司（以下简称</w:t>
      </w:r>
      <w:r>
        <w:rPr>
          <w:rFonts w:ascii="Times New Roman" w:eastAsia="宋体" w:hAnsi="Times New Roman" w:cs="Times New Roman"/>
        </w:rPr>
        <w:t>“</w:t>
      </w:r>
      <w:bookmarkStart w:id="6" w:name="OLE_LINK15"/>
      <w:bookmarkStart w:id="7" w:name="OLE_LINK14"/>
      <w:r>
        <w:rPr>
          <w:rFonts w:ascii="Times New Roman" w:eastAsia="宋体" w:hAnsi="Times New Roman" w:cs="Times New Roman"/>
        </w:rPr>
        <w:t>晟视天下、植信基金、唐鼎耀华基金</w:t>
      </w:r>
      <w:bookmarkEnd w:id="6"/>
      <w:bookmarkEnd w:id="7"/>
      <w:r>
        <w:rPr>
          <w:rFonts w:ascii="Times New Roman" w:eastAsia="宋体" w:hAnsi="Times New Roman" w:cs="Times New Roman"/>
        </w:rPr>
        <w:t>”</w:t>
      </w:r>
      <w:r>
        <w:rPr>
          <w:rFonts w:ascii="Times New Roman" w:eastAsia="宋体" w:hAnsi="Times New Roman" w:cs="Times New Roman"/>
        </w:rPr>
        <w:t>）整合至中植基金销售有限公司（</w:t>
      </w:r>
      <w:r>
        <w:rPr>
          <w:rFonts w:ascii="Times New Roman" w:eastAsia="宋体" w:hAnsi="Times New Roman" w:cs="Times New Roman" w:hint="eastAsia"/>
        </w:rPr>
        <w:t>原</w:t>
      </w:r>
      <w:r>
        <w:rPr>
          <w:rFonts w:ascii="Times New Roman" w:eastAsia="宋体" w:hAnsi="Times New Roman" w:cs="Times New Roman"/>
        </w:rPr>
        <w:t>北京恒天明泽基金销售有限公司，以下简称</w:t>
      </w:r>
      <w:r>
        <w:rPr>
          <w:rFonts w:ascii="Times New Roman" w:eastAsia="宋体" w:hAnsi="Times New Roman" w:cs="Times New Roman"/>
        </w:rPr>
        <w:t>“</w:t>
      </w:r>
      <w:r>
        <w:rPr>
          <w:rFonts w:ascii="Times New Roman" w:eastAsia="宋体" w:hAnsi="Times New Roman" w:cs="Times New Roman"/>
        </w:rPr>
        <w:t>中植基金</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经中加基金管理有限公司（以下简称</w:t>
      </w:r>
      <w:r>
        <w:rPr>
          <w:rFonts w:ascii="Times New Roman" w:eastAsia="宋体" w:hAnsi="Times New Roman" w:cs="Times New Roman"/>
        </w:rPr>
        <w:t>“</w:t>
      </w:r>
      <w:r>
        <w:rPr>
          <w:rFonts w:ascii="Times New Roman" w:eastAsia="宋体" w:hAnsi="Times New Roman" w:cs="Times New Roman"/>
        </w:rPr>
        <w:t>本公司</w:t>
      </w:r>
      <w:r>
        <w:rPr>
          <w:rFonts w:ascii="Times New Roman" w:eastAsia="宋体" w:hAnsi="Times New Roman" w:cs="Times New Roman"/>
        </w:rPr>
        <w:t>”</w:t>
      </w:r>
      <w:r>
        <w:rPr>
          <w:rFonts w:ascii="Times New Roman" w:eastAsia="宋体" w:hAnsi="Times New Roman" w:cs="Times New Roman"/>
        </w:rPr>
        <w:t>）与</w:t>
      </w:r>
      <w:r>
        <w:rPr>
          <w:rFonts w:ascii="Times New Roman" w:eastAsia="宋体" w:hAnsi="Times New Roman" w:cs="Times New Roman" w:hint="eastAsia"/>
        </w:rPr>
        <w:t>以上销售机构</w:t>
      </w:r>
      <w:r>
        <w:rPr>
          <w:rFonts w:ascii="Times New Roman" w:eastAsia="宋体" w:hAnsi="Times New Roman" w:cs="Times New Roman"/>
        </w:rPr>
        <w:t>协商一致，本公司决定自</w:t>
      </w: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2</w:t>
      </w:r>
      <w:r w:rsidR="007F6582">
        <w:rPr>
          <w:rFonts w:ascii="Times New Roman" w:eastAsia="宋体" w:hAnsi="Times New Roman" w:cs="Times New Roman"/>
        </w:rPr>
        <w:t>3</w:t>
      </w:r>
      <w:r>
        <w:rPr>
          <w:rFonts w:ascii="Times New Roman" w:eastAsia="宋体" w:hAnsi="Times New Roman" w:cs="Times New Roman"/>
        </w:rPr>
        <w:t>日起，</w:t>
      </w:r>
      <w:r>
        <w:rPr>
          <w:rFonts w:ascii="Times New Roman" w:eastAsia="宋体" w:hAnsi="Times New Roman" w:cs="Times New Roman" w:hint="eastAsia"/>
          <w:lang/>
        </w:rPr>
        <w:t>终止</w:t>
      </w:r>
      <w:r>
        <w:rPr>
          <w:rFonts w:ascii="Times New Roman" w:eastAsia="宋体" w:hAnsi="Times New Roman" w:cs="Times New Roman"/>
        </w:rPr>
        <w:t>晟视天下、植信基金、唐鼎耀华基金办理本公司旗下基金的认购、申购、定期定额投资及转换等业务。为维护基金投资者利益，已通过</w:t>
      </w:r>
      <w:bookmarkStart w:id="8" w:name="OLE_LINK20"/>
      <w:bookmarkStart w:id="9" w:name="OLE_LINK21"/>
      <w:r>
        <w:rPr>
          <w:rFonts w:ascii="Times New Roman" w:eastAsia="宋体" w:hAnsi="Times New Roman" w:cs="Times New Roman"/>
        </w:rPr>
        <w:t>晟视天下、植信基金、唐鼎耀华基金</w:t>
      </w:r>
      <w:bookmarkEnd w:id="8"/>
      <w:bookmarkEnd w:id="9"/>
      <w:r>
        <w:rPr>
          <w:rFonts w:ascii="Times New Roman" w:eastAsia="宋体" w:hAnsi="Times New Roman" w:cs="Times New Roman"/>
        </w:rPr>
        <w:t>持有本公司旗下基金</w:t>
      </w:r>
      <w:r w:rsidR="00AB0DEF">
        <w:rPr>
          <w:rFonts w:ascii="Times New Roman" w:eastAsia="宋体" w:hAnsi="Times New Roman" w:cs="Times New Roman" w:hint="eastAsia"/>
        </w:rPr>
        <w:t>且</w:t>
      </w:r>
      <w:r>
        <w:rPr>
          <w:rFonts w:ascii="Times New Roman" w:eastAsia="宋体" w:hAnsi="Times New Roman" w:cs="Times New Roman"/>
        </w:rPr>
        <w:t>其持有份额已转托管至中植基金</w:t>
      </w:r>
      <w:r w:rsidR="00AB0DEF">
        <w:rPr>
          <w:rFonts w:ascii="Times New Roman" w:eastAsia="宋体" w:hAnsi="Times New Roman" w:cs="Times New Roman"/>
        </w:rPr>
        <w:t>的投资者</w:t>
      </w:r>
      <w:r>
        <w:rPr>
          <w:rFonts w:ascii="Times New Roman" w:eastAsia="宋体" w:hAnsi="Times New Roman" w:cs="Times New Roman"/>
        </w:rPr>
        <w:t>，由中植基金提供后续服务。</w:t>
      </w: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本公司基金在晟视天下、植信基金、唐鼎耀华基金已无保有份额</w:t>
      </w:r>
      <w:r>
        <w:rPr>
          <w:rFonts w:ascii="Times New Roman" w:eastAsia="宋体" w:hAnsi="Times New Roman" w:cs="Times New Roman" w:hint="eastAsia"/>
        </w:rPr>
        <w:t>。</w:t>
      </w:r>
      <w:r>
        <w:rPr>
          <w:rFonts w:ascii="Times New Roman" w:eastAsia="宋体" w:hAnsi="Times New Roman" w:cs="Times New Roman"/>
        </w:rPr>
        <w:t>相关基金更新招募说明书或其他公告情况将不再列示该销售机构信息，请投资者妥善做好交易安排。</w:t>
      </w:r>
    </w:p>
    <w:p w:rsidR="000E48DA" w:rsidRDefault="000E48DA">
      <w:pPr>
        <w:spacing w:line="360" w:lineRule="auto"/>
        <w:ind w:firstLineChars="200" w:firstLine="480"/>
        <w:rPr>
          <w:rFonts w:ascii="Times New Roman" w:eastAsia="宋体" w:hAnsi="Times New Roman" w:cs="Times New Roman"/>
        </w:rPr>
      </w:pPr>
    </w:p>
    <w:p w:rsidR="000E48DA" w:rsidRDefault="00956F62">
      <w:pPr>
        <w:spacing w:line="360" w:lineRule="auto"/>
        <w:ind w:firstLine="482"/>
        <w:rPr>
          <w:rFonts w:ascii="Times New Roman" w:eastAsia="宋体" w:hAnsi="Times New Roman" w:cs="Times New Roman"/>
        </w:rPr>
      </w:pPr>
      <w:r>
        <w:rPr>
          <w:rFonts w:ascii="Times New Roman" w:eastAsia="宋体" w:hAnsi="Times New Roman" w:cs="Times New Roman" w:hint="eastAsia"/>
        </w:rPr>
        <w:t>投资者可通过以下途径咨询有关详情：</w:t>
      </w:r>
    </w:p>
    <w:p w:rsidR="000E48DA" w:rsidRDefault="00956F62">
      <w:pPr>
        <w:spacing w:line="360" w:lineRule="auto"/>
        <w:ind w:firstLineChars="200" w:firstLine="480"/>
        <w:rPr>
          <w:rFonts w:ascii="Times New Roman" w:eastAsia="宋体" w:hAnsi="Times New Roman" w:cs="Times New Roman"/>
        </w:rPr>
      </w:pPr>
      <w:bookmarkStart w:id="10" w:name="OLE_LINK18"/>
      <w:bookmarkStart w:id="11" w:name="OLE_LINK19"/>
      <w:r>
        <w:rPr>
          <w:rFonts w:ascii="Times New Roman" w:eastAsia="宋体" w:hAnsi="Times New Roman" w:cs="Times New Roman"/>
        </w:rPr>
        <w:t>1</w:t>
      </w:r>
      <w:r>
        <w:rPr>
          <w:rFonts w:ascii="Times New Roman" w:eastAsia="宋体" w:hAnsi="Times New Roman" w:cs="Times New Roman" w:hint="eastAsia"/>
        </w:rPr>
        <w:t>、</w:t>
      </w:r>
      <w:r>
        <w:rPr>
          <w:rFonts w:ascii="Times New Roman" w:eastAsia="宋体" w:hAnsi="Times New Roman" w:cs="Times New Roman"/>
        </w:rPr>
        <w:t>北京中植基金销售有限公司</w:t>
      </w:r>
    </w:p>
    <w:p w:rsidR="000E48DA" w:rsidRDefault="00956F62">
      <w:pPr>
        <w:spacing w:line="360" w:lineRule="auto"/>
        <w:ind w:firstLineChars="350" w:firstLine="840"/>
        <w:rPr>
          <w:rFonts w:ascii="Times New Roman" w:eastAsia="宋体" w:hAnsi="Times New Roman" w:cs="Times New Roman"/>
        </w:rPr>
      </w:pPr>
      <w:r>
        <w:rPr>
          <w:rFonts w:ascii="Times New Roman" w:eastAsia="宋体" w:hAnsi="Times New Roman" w:cs="Times New Roman" w:hint="eastAsia"/>
        </w:rPr>
        <w:t>客户服务电话：</w:t>
      </w:r>
      <w:r>
        <w:rPr>
          <w:rFonts w:ascii="Times New Roman" w:eastAsia="宋体" w:hAnsi="Times New Roman" w:cs="Times New Roman"/>
        </w:rPr>
        <w:t>400-8180-888</w:t>
      </w:r>
    </w:p>
    <w:p w:rsidR="000E48DA" w:rsidRDefault="00956F62">
      <w:pPr>
        <w:spacing w:line="360" w:lineRule="auto"/>
        <w:ind w:firstLineChars="350" w:firstLine="840"/>
        <w:rPr>
          <w:rFonts w:ascii="Times New Roman" w:eastAsia="宋体" w:hAnsi="Times New Roman" w:cs="Times New Roman"/>
        </w:rPr>
      </w:pPr>
      <w:r>
        <w:rPr>
          <w:rFonts w:ascii="Times New Roman" w:eastAsia="宋体" w:hAnsi="Times New Roman" w:cs="Times New Roman" w:hint="eastAsia"/>
        </w:rPr>
        <w:t>网站：</w:t>
      </w:r>
      <w:r>
        <w:rPr>
          <w:rFonts w:ascii="Times New Roman" w:eastAsia="宋体" w:hAnsi="Times New Roman" w:cs="Times New Roman"/>
        </w:rPr>
        <w:t>http://www.zzfund.com</w:t>
      </w: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、中加基金管理有限公司</w:t>
      </w:r>
    </w:p>
    <w:p w:rsidR="000E48DA" w:rsidRDefault="00956F62">
      <w:pPr>
        <w:spacing w:line="360" w:lineRule="auto"/>
        <w:ind w:firstLineChars="350" w:firstLine="840"/>
        <w:rPr>
          <w:rFonts w:ascii="Times New Roman" w:eastAsia="宋体" w:hAnsi="Times New Roman" w:cs="Times New Roman"/>
        </w:rPr>
      </w:pPr>
      <w:r>
        <w:rPr>
          <w:rFonts w:ascii="Times New Roman" w:eastAsia="宋体" w:hAnsi="Times New Roman" w:cs="Times New Roman" w:hint="eastAsia"/>
        </w:rPr>
        <w:t>客户服务电话：</w:t>
      </w:r>
      <w:r>
        <w:rPr>
          <w:rFonts w:ascii="Times New Roman" w:eastAsia="宋体" w:hAnsi="Times New Roman" w:cs="Times New Roman"/>
        </w:rPr>
        <w:t>400-00-95526</w:t>
      </w:r>
    </w:p>
    <w:p w:rsidR="000E48DA" w:rsidRDefault="00956F62">
      <w:pPr>
        <w:spacing w:line="360" w:lineRule="auto"/>
        <w:ind w:firstLineChars="350" w:firstLine="840"/>
        <w:rPr>
          <w:rFonts w:ascii="Times New Roman" w:eastAsia="宋体" w:hAnsi="Times New Roman" w:cs="Times New Roman"/>
        </w:rPr>
      </w:pPr>
      <w:r>
        <w:rPr>
          <w:rFonts w:ascii="Times New Roman" w:eastAsia="宋体" w:hAnsi="Times New Roman" w:cs="Times New Roman" w:hint="eastAsia"/>
        </w:rPr>
        <w:t>网站：</w:t>
      </w:r>
      <w:r>
        <w:rPr>
          <w:rFonts w:ascii="Times New Roman" w:eastAsia="宋体" w:hAnsi="Times New Roman" w:cs="Times New Roman"/>
        </w:rPr>
        <w:t>http://www.bobbns.com</w:t>
      </w:r>
      <w:bookmarkEnd w:id="10"/>
      <w:bookmarkEnd w:id="11"/>
      <w:r>
        <w:rPr>
          <w:rFonts w:ascii="Times New Roman" w:eastAsia="宋体" w:hAnsi="Times New Roman" w:cs="Times New Roman"/>
        </w:rPr>
        <w:t xml:space="preserve"> </w:t>
      </w:r>
    </w:p>
    <w:p w:rsidR="000E48DA" w:rsidRDefault="000E48DA">
      <w:pPr>
        <w:spacing w:line="360" w:lineRule="auto"/>
        <w:ind w:firstLineChars="350" w:firstLine="840"/>
        <w:rPr>
          <w:rFonts w:ascii="Times New Roman" w:eastAsia="宋体" w:hAnsi="Times New Roman" w:cs="Times New Roman"/>
        </w:rPr>
      </w:pP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w:t>
      </w:r>
      <w:r>
        <w:rPr>
          <w:rFonts w:ascii="Times New Roman" w:eastAsia="宋体" w:hAnsi="Times New Roman" w:cs="Times New Roman" w:hint="eastAsia"/>
        </w:rPr>
        <w:lastRenderedPageBreak/>
        <w:t>合同、更新的招募说明书、基金产品资料概要以及相关业务公告。敬请投资者关注适当性管理相关规定，提前做好风险测评，并根据自身的风险承受能力购买风险等级相匹配的产品。</w:t>
      </w: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本公告的解释权归中加基金管理有限公司所有。</w:t>
      </w:r>
    </w:p>
    <w:p w:rsidR="000E48DA" w:rsidRDefault="00956F62">
      <w:pPr>
        <w:spacing w:line="360" w:lineRule="auto"/>
        <w:ind w:firstLineChars="200" w:firstLine="480"/>
        <w:rPr>
          <w:rFonts w:ascii="Times New Roman" w:eastAsia="宋体" w:hAnsi="Times New Roman" w:cs="Times New Roman"/>
        </w:rPr>
      </w:pPr>
      <w:r>
        <w:rPr>
          <w:rFonts w:ascii="Times New Roman" w:eastAsia="宋体" w:hAnsi="Times New Roman" w:cs="Times New Roman" w:hint="eastAsia"/>
        </w:rPr>
        <w:t>特此公告。</w:t>
      </w:r>
    </w:p>
    <w:p w:rsidR="000E48DA" w:rsidRDefault="000E48DA">
      <w:pPr>
        <w:spacing w:line="360" w:lineRule="auto"/>
        <w:ind w:firstLineChars="200" w:firstLine="480"/>
        <w:jc w:val="right"/>
        <w:rPr>
          <w:rFonts w:ascii="Times New Roman" w:eastAsia="宋体" w:hAnsi="Times New Roman" w:cs="Times New Roman"/>
        </w:rPr>
      </w:pPr>
    </w:p>
    <w:p w:rsidR="000E48DA" w:rsidRDefault="000E48DA">
      <w:pPr>
        <w:spacing w:line="360" w:lineRule="auto"/>
        <w:ind w:firstLineChars="200" w:firstLine="480"/>
        <w:jc w:val="right"/>
        <w:rPr>
          <w:rFonts w:ascii="Times New Roman" w:eastAsia="宋体" w:hAnsi="Times New Roman" w:cs="Times New Roman"/>
        </w:rPr>
      </w:pPr>
    </w:p>
    <w:p w:rsidR="000E48DA" w:rsidRDefault="00956F62">
      <w:pPr>
        <w:spacing w:line="360" w:lineRule="auto"/>
        <w:ind w:firstLineChars="200" w:firstLine="480"/>
        <w:jc w:val="right"/>
        <w:rPr>
          <w:rFonts w:ascii="Times New Roman" w:eastAsia="宋体" w:hAnsi="Times New Roman" w:cs="Times New Roman"/>
        </w:rPr>
      </w:pPr>
      <w:r>
        <w:rPr>
          <w:rFonts w:ascii="Times New Roman" w:eastAsia="宋体" w:hAnsi="Times New Roman" w:cs="Times New Roman"/>
        </w:rPr>
        <w:t>中加基金管理有限公司</w:t>
      </w:r>
    </w:p>
    <w:p w:rsidR="000E48DA" w:rsidRDefault="00956F62">
      <w:pPr>
        <w:spacing w:line="360" w:lineRule="auto"/>
        <w:ind w:firstLineChars="200" w:firstLine="480"/>
        <w:jc w:val="right"/>
        <w:rPr>
          <w:rFonts w:ascii="Times New Roman" w:eastAsia="宋体" w:hAnsi="Times New Roman" w:cs="Times New Roman"/>
        </w:rPr>
      </w:pP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2</w:t>
      </w:r>
      <w:r w:rsidR="00BA7AD5">
        <w:rPr>
          <w:rFonts w:ascii="Times New Roman" w:eastAsia="宋体" w:hAnsi="Times New Roman" w:cs="Times New Roman"/>
        </w:rPr>
        <w:t>3</w:t>
      </w:r>
      <w:r>
        <w:rPr>
          <w:rFonts w:ascii="Times New Roman" w:eastAsia="宋体" w:hAnsi="Times New Roman" w:cs="Times New Roman"/>
        </w:rPr>
        <w:t>日</w:t>
      </w:r>
    </w:p>
    <w:sectPr w:rsidR="000E48DA" w:rsidSect="008048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思源黑体 CN Normal">
    <w:altName w:val="黑体"/>
    <w:panose1 w:val="00000000000000000000"/>
    <w:charset w:val="80"/>
    <w:family w:val="swiss"/>
    <w:notTrueType/>
    <w:pitch w:val="variable"/>
    <w:sig w:usb0="20000207" w:usb1="2ADF3C10" w:usb2="00000016" w:usb3="00000000" w:csb0="00060107"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450"/>
    <w:rsid w:val="CE794456"/>
    <w:rsid w:val="D772D6DF"/>
    <w:rsid w:val="EF374226"/>
    <w:rsid w:val="F6EB1431"/>
    <w:rsid w:val="00086BDE"/>
    <w:rsid w:val="000A6BF8"/>
    <w:rsid w:val="000E48DA"/>
    <w:rsid w:val="000E48F2"/>
    <w:rsid w:val="0018071F"/>
    <w:rsid w:val="00191FFE"/>
    <w:rsid w:val="00235518"/>
    <w:rsid w:val="00257ABC"/>
    <w:rsid w:val="00272973"/>
    <w:rsid w:val="00375BA1"/>
    <w:rsid w:val="003C535A"/>
    <w:rsid w:val="004021E4"/>
    <w:rsid w:val="00443741"/>
    <w:rsid w:val="00531450"/>
    <w:rsid w:val="00586287"/>
    <w:rsid w:val="005C7F20"/>
    <w:rsid w:val="005D4ED4"/>
    <w:rsid w:val="00603DD0"/>
    <w:rsid w:val="00606145"/>
    <w:rsid w:val="006B1417"/>
    <w:rsid w:val="006D7F6D"/>
    <w:rsid w:val="00711D6F"/>
    <w:rsid w:val="0079640D"/>
    <w:rsid w:val="007B54AC"/>
    <w:rsid w:val="007F6582"/>
    <w:rsid w:val="008048A8"/>
    <w:rsid w:val="00812EB2"/>
    <w:rsid w:val="008B07D3"/>
    <w:rsid w:val="008D1166"/>
    <w:rsid w:val="008D3FC8"/>
    <w:rsid w:val="008E60A6"/>
    <w:rsid w:val="008F2CF9"/>
    <w:rsid w:val="00956F62"/>
    <w:rsid w:val="00986C12"/>
    <w:rsid w:val="00A10587"/>
    <w:rsid w:val="00AB0DEF"/>
    <w:rsid w:val="00AC1ED9"/>
    <w:rsid w:val="00B12130"/>
    <w:rsid w:val="00B219DC"/>
    <w:rsid w:val="00B56C0A"/>
    <w:rsid w:val="00BA7AD5"/>
    <w:rsid w:val="00C7086D"/>
    <w:rsid w:val="00CA3649"/>
    <w:rsid w:val="00CE2FD2"/>
    <w:rsid w:val="00D54653"/>
    <w:rsid w:val="00DB45D0"/>
    <w:rsid w:val="00E131C7"/>
    <w:rsid w:val="00E80CEF"/>
    <w:rsid w:val="00E8431F"/>
    <w:rsid w:val="00E90E0B"/>
    <w:rsid w:val="00EB0EE2"/>
    <w:rsid w:val="00EE5248"/>
    <w:rsid w:val="00F24431"/>
    <w:rsid w:val="00F30192"/>
    <w:rsid w:val="00FD41F2"/>
    <w:rsid w:val="1F6A6020"/>
    <w:rsid w:val="276E4F1C"/>
    <w:rsid w:val="3A464BD0"/>
    <w:rsid w:val="48BE4CBC"/>
    <w:rsid w:val="4FB17ED5"/>
    <w:rsid w:val="6028779F"/>
    <w:rsid w:val="7FFFE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思源黑体 CN Normal" w:eastAsia="思源黑体 CN Normal" w:hAnsi="思源黑体 CN Norma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A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8048A8"/>
    <w:pPr>
      <w:jc w:val="left"/>
    </w:pPr>
  </w:style>
  <w:style w:type="paragraph" w:styleId="a4">
    <w:name w:val="Balloon Text"/>
    <w:basedOn w:val="a"/>
    <w:link w:val="Char"/>
    <w:uiPriority w:val="99"/>
    <w:semiHidden/>
    <w:unhideWhenUsed/>
    <w:qFormat/>
    <w:rsid w:val="008048A8"/>
    <w:rPr>
      <w:sz w:val="18"/>
      <w:szCs w:val="18"/>
    </w:rPr>
  </w:style>
  <w:style w:type="paragraph" w:styleId="a5">
    <w:name w:val="footer"/>
    <w:basedOn w:val="a"/>
    <w:link w:val="Char0"/>
    <w:uiPriority w:val="99"/>
    <w:unhideWhenUsed/>
    <w:qFormat/>
    <w:rsid w:val="008048A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048A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048A8"/>
    <w:pPr>
      <w:widowControl/>
      <w:spacing w:before="100" w:beforeAutospacing="1" w:after="100" w:afterAutospacing="1"/>
      <w:jc w:val="left"/>
    </w:pPr>
    <w:rPr>
      <w:rFonts w:ascii="宋体" w:eastAsia="宋体" w:hAnsi="宋体" w:cs="宋体"/>
      <w:kern w:val="0"/>
      <w:szCs w:val="24"/>
    </w:rPr>
  </w:style>
  <w:style w:type="character" w:styleId="a8">
    <w:name w:val="Hyperlink"/>
    <w:basedOn w:val="a0"/>
    <w:uiPriority w:val="99"/>
    <w:unhideWhenUsed/>
    <w:qFormat/>
    <w:rsid w:val="008048A8"/>
    <w:rPr>
      <w:color w:val="0563C1" w:themeColor="hyperlink"/>
      <w:u w:val="single"/>
    </w:rPr>
  </w:style>
  <w:style w:type="character" w:styleId="a9">
    <w:name w:val="annotation reference"/>
    <w:basedOn w:val="a0"/>
    <w:uiPriority w:val="99"/>
    <w:semiHidden/>
    <w:unhideWhenUsed/>
    <w:qFormat/>
    <w:rsid w:val="008048A8"/>
    <w:rPr>
      <w:sz w:val="21"/>
      <w:szCs w:val="21"/>
    </w:rPr>
  </w:style>
  <w:style w:type="character" w:customStyle="1" w:styleId="Char1">
    <w:name w:val="页眉 Char"/>
    <w:basedOn w:val="a0"/>
    <w:link w:val="a6"/>
    <w:uiPriority w:val="99"/>
    <w:semiHidden/>
    <w:qFormat/>
    <w:rsid w:val="008048A8"/>
    <w:rPr>
      <w:sz w:val="18"/>
      <w:szCs w:val="18"/>
    </w:rPr>
  </w:style>
  <w:style w:type="character" w:customStyle="1" w:styleId="Char0">
    <w:name w:val="页脚 Char"/>
    <w:basedOn w:val="a0"/>
    <w:link w:val="a5"/>
    <w:uiPriority w:val="99"/>
    <w:semiHidden/>
    <w:qFormat/>
    <w:rsid w:val="008048A8"/>
    <w:rPr>
      <w:sz w:val="18"/>
      <w:szCs w:val="18"/>
    </w:rPr>
  </w:style>
  <w:style w:type="paragraph" w:customStyle="1" w:styleId="1">
    <w:name w:val="列出段落1"/>
    <w:basedOn w:val="a"/>
    <w:uiPriority w:val="34"/>
    <w:qFormat/>
    <w:rsid w:val="008048A8"/>
    <w:pPr>
      <w:ind w:firstLineChars="200" w:firstLine="420"/>
    </w:pPr>
  </w:style>
  <w:style w:type="character" w:customStyle="1" w:styleId="Char">
    <w:name w:val="批注框文本 Char"/>
    <w:basedOn w:val="a0"/>
    <w:link w:val="a4"/>
    <w:uiPriority w:val="99"/>
    <w:semiHidden/>
    <w:qFormat/>
    <w:rsid w:val="008048A8"/>
    <w:rPr>
      <w:kern w:val="2"/>
      <w:sz w:val="18"/>
      <w:szCs w:val="18"/>
    </w:rPr>
  </w:style>
  <w:style w:type="character" w:customStyle="1" w:styleId="10">
    <w:name w:val="未处理的提及1"/>
    <w:basedOn w:val="a0"/>
    <w:uiPriority w:val="99"/>
    <w:semiHidden/>
    <w:unhideWhenUsed/>
    <w:qFormat/>
    <w:rsid w:val="008048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4</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Duxx</dc:creator>
  <cp:lastModifiedBy>ZHONGM</cp:lastModifiedBy>
  <cp:revision>2</cp:revision>
  <cp:lastPrinted>2022-02-25T08:55:00Z</cp:lastPrinted>
  <dcterms:created xsi:type="dcterms:W3CDTF">2022-05-22T16:01:00Z</dcterms:created>
  <dcterms:modified xsi:type="dcterms:W3CDTF">2022-05-22T16:01:00Z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B32D7A9BEB0E2C4A2EA8856207B77AC2</vt:lpwstr>
  </property>
</Properties>
</file>