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5A" w:rsidRDefault="00B10E5A">
      <w:pPr>
        <w:spacing w:after="120" w:line="360" w:lineRule="auto"/>
        <w:jc w:val="center"/>
        <w:rPr>
          <w:rFonts w:eastAsia="Times New Roman"/>
          <w:sz w:val="30"/>
          <w:szCs w:val="30"/>
          <w:lang w:val="en-US" w:eastAsia="zh-CN" w:bidi="ar-SA"/>
        </w:rPr>
      </w:pPr>
      <w:r>
        <w:rPr>
          <w:rFonts w:ascii="宋体" w:hAnsi="宋体" w:cs="宋体" w:hint="eastAsia"/>
          <w:b/>
          <w:bCs/>
          <w:sz w:val="30"/>
          <w:szCs w:val="30"/>
          <w:lang w:bidi="ar-SA"/>
        </w:rPr>
        <w:t>宝盈</w:t>
      </w:r>
      <w:r>
        <w:rPr>
          <w:rFonts w:ascii="宋体" w:hAnsi="宋体" w:cs="宋体"/>
          <w:b/>
          <w:bCs/>
          <w:sz w:val="30"/>
          <w:szCs w:val="30"/>
          <w:lang w:val="en-US" w:eastAsia="zh-CN" w:bidi="ar-SA"/>
        </w:rPr>
        <w:t>基金管理有限公司关于增加宁波银行股份有限公司为旗下部分基金销售机构</w:t>
      </w:r>
      <w:r>
        <w:rPr>
          <w:rFonts w:ascii="宋体" w:hAnsi="宋体" w:cs="宋体" w:hint="eastAsia"/>
          <w:b/>
          <w:bCs/>
          <w:sz w:val="30"/>
          <w:szCs w:val="30"/>
          <w:lang w:bidi="ar-SA"/>
        </w:rPr>
        <w:t>及参与相关费率优惠</w:t>
      </w:r>
      <w:r>
        <w:rPr>
          <w:rFonts w:ascii="宋体" w:hAnsi="宋体" w:cs="宋体"/>
          <w:b/>
          <w:bCs/>
          <w:sz w:val="30"/>
          <w:szCs w:val="30"/>
          <w:lang w:val="en-US" w:eastAsia="zh-CN" w:bidi="ar-SA"/>
        </w:rPr>
        <w:t>的公告</w:t>
      </w:r>
    </w:p>
    <w:p w:rsidR="00B10E5A" w:rsidRDefault="00B10E5A">
      <w:pPr>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根据</w:t>
      </w:r>
      <w:r>
        <w:rPr>
          <w:rFonts w:ascii="宋体" w:hAnsi="宋体" w:cs="宋体" w:hint="eastAsia"/>
          <w:sz w:val="21"/>
          <w:szCs w:val="21"/>
          <w:lang w:bidi="ar-SA"/>
        </w:rPr>
        <w:t>宝盈</w:t>
      </w:r>
      <w:r>
        <w:rPr>
          <w:rFonts w:ascii="宋体" w:hAnsi="宋体" w:cs="宋体"/>
          <w:sz w:val="21"/>
          <w:szCs w:val="21"/>
          <w:lang w:val="en-US" w:eastAsia="zh-CN" w:bidi="ar-SA"/>
        </w:rPr>
        <w:t>基金管理有限公司（以下简称“本公司”）与宁波银行股份有限公司签署的销售协议，本公司</w:t>
      </w:r>
      <w:r>
        <w:rPr>
          <w:rFonts w:ascii="宋体" w:hAnsi="宋体" w:cs="宋体" w:hint="eastAsia"/>
          <w:sz w:val="21"/>
          <w:szCs w:val="21"/>
          <w:lang w:val="en-US" w:eastAsia="zh-CN" w:bidi="ar-SA"/>
        </w:rPr>
        <w:t>将于202</w:t>
      </w:r>
      <w:r>
        <w:rPr>
          <w:rFonts w:ascii="宋体" w:hAnsi="宋体" w:cs="宋体" w:hint="eastAsia"/>
          <w:sz w:val="21"/>
          <w:szCs w:val="21"/>
          <w:lang w:bidi="ar-SA"/>
        </w:rPr>
        <w:t>2</w:t>
      </w:r>
      <w:r>
        <w:rPr>
          <w:rFonts w:ascii="宋体" w:hAnsi="宋体" w:cs="宋体" w:hint="eastAsia"/>
          <w:sz w:val="21"/>
          <w:szCs w:val="21"/>
          <w:lang w:val="en-US" w:eastAsia="zh-CN" w:bidi="ar-SA"/>
        </w:rPr>
        <w:t>年</w:t>
      </w:r>
      <w:r>
        <w:rPr>
          <w:rFonts w:ascii="宋体" w:hAnsi="宋体" w:cs="宋体"/>
          <w:sz w:val="21"/>
          <w:szCs w:val="21"/>
          <w:lang w:bidi="ar-SA"/>
        </w:rPr>
        <w:t>5</w:t>
      </w:r>
      <w:r>
        <w:rPr>
          <w:rFonts w:ascii="宋体" w:hAnsi="宋体" w:cs="宋体" w:hint="eastAsia"/>
          <w:sz w:val="21"/>
          <w:szCs w:val="21"/>
          <w:lang w:val="en-US" w:eastAsia="zh-CN" w:bidi="ar-SA"/>
        </w:rPr>
        <w:t>月</w:t>
      </w:r>
      <w:r>
        <w:rPr>
          <w:rFonts w:ascii="宋体" w:hAnsi="宋体" w:cs="宋体" w:hint="eastAsia"/>
          <w:sz w:val="21"/>
          <w:szCs w:val="21"/>
          <w:lang w:bidi="ar-SA"/>
        </w:rPr>
        <w:t>20</w:t>
      </w:r>
      <w:r>
        <w:rPr>
          <w:rFonts w:ascii="宋体" w:hAnsi="宋体" w:cs="宋体" w:hint="eastAsia"/>
          <w:sz w:val="21"/>
          <w:szCs w:val="21"/>
          <w:lang w:val="en-US" w:eastAsia="zh-CN" w:bidi="ar-SA"/>
        </w:rPr>
        <w:t>日起，</w:t>
      </w:r>
      <w:r>
        <w:rPr>
          <w:rFonts w:ascii="宋体" w:hAnsi="宋体" w:cs="宋体"/>
          <w:sz w:val="21"/>
          <w:szCs w:val="21"/>
          <w:lang w:val="en-US" w:eastAsia="zh-CN" w:bidi="ar-SA"/>
        </w:rPr>
        <w:t>增加宁波银行股份有限公司为本公司旗下部分基金的销售机构，投资者可通过宁波银行股份有限公司的指定渠道办理下述基金的开户、交易等基金相关业务。</w:t>
      </w:r>
    </w:p>
    <w:p w:rsidR="00B10E5A" w:rsidRDefault="00B10E5A">
      <w:pPr>
        <w:spacing w:line="360" w:lineRule="auto"/>
        <w:ind w:firstLine="420"/>
        <w:jc w:val="both"/>
        <w:rPr>
          <w:rFonts w:ascii="宋体" w:hAnsi="宋体" w:cs="宋体"/>
          <w:b/>
          <w:sz w:val="21"/>
          <w:szCs w:val="21"/>
          <w:lang w:val="en-US" w:eastAsia="zh-CN" w:bidi="ar-SA"/>
        </w:rPr>
      </w:pPr>
      <w:r>
        <w:rPr>
          <w:rFonts w:ascii="宋体" w:hAnsi="宋体" w:cs="宋体" w:hint="eastAsia"/>
          <w:b/>
          <w:sz w:val="21"/>
          <w:szCs w:val="21"/>
          <w:lang w:val="en-US" w:eastAsia="zh-CN" w:bidi="ar-SA"/>
        </w:rPr>
        <w:t>注：下述基金本次仅在宁波银行股份有限公司“易管家”平台上线销售。</w:t>
      </w:r>
      <w:r>
        <w:rPr>
          <w:rFonts w:ascii="宋体" w:hAnsi="宋体" w:cs="宋体"/>
          <w:b/>
          <w:sz w:val="21"/>
          <w:szCs w:val="21"/>
          <w:lang w:val="en-US" w:eastAsia="zh-CN" w:bidi="ar-SA"/>
        </w:rPr>
        <w:t> </w:t>
      </w:r>
    </w:p>
    <w:p w:rsidR="00B10E5A" w:rsidRDefault="00B10E5A">
      <w:pPr>
        <w:spacing w:line="360" w:lineRule="auto"/>
        <w:ind w:firstLine="420"/>
        <w:jc w:val="both"/>
        <w:rPr>
          <w:rFonts w:ascii="宋体" w:hAnsi="宋体" w:cs="宋体"/>
          <w:b/>
          <w:sz w:val="21"/>
          <w:szCs w:val="21"/>
          <w:lang w:val="en-US" w:eastAsia="zh-CN" w:bidi="ar-SA"/>
        </w:rPr>
      </w:pPr>
    </w:p>
    <w:p w:rsidR="00B10E5A" w:rsidRDefault="00B10E5A">
      <w:pPr>
        <w:pStyle w:val="a6"/>
        <w:numPr>
          <w:ilvl w:val="0"/>
          <w:numId w:val="1"/>
        </w:numPr>
        <w:adjustRightInd w:val="0"/>
        <w:snapToGrid w:val="0"/>
        <w:spacing w:line="360" w:lineRule="auto"/>
        <w:ind w:firstLineChars="0"/>
        <w:jc w:val="left"/>
        <w:rPr>
          <w:rFonts w:ascii="Times New Roman" w:hAnsi="Times New Roman"/>
          <w:sz w:val="24"/>
          <w:szCs w:val="24"/>
        </w:rPr>
      </w:pPr>
      <w:r>
        <w:rPr>
          <w:rFonts w:ascii="Times New Roman" w:hAnsi="Times New Roman" w:hint="eastAsia"/>
          <w:b/>
          <w:sz w:val="24"/>
          <w:szCs w:val="24"/>
        </w:rPr>
        <w:t>适用基金范围</w:t>
      </w:r>
    </w:p>
    <w:tbl>
      <w:tblPr>
        <w:tblW w:w="5000" w:type="pct"/>
        <w:jc w:val="center"/>
        <w:tblInd w:w="0" w:type="dxa"/>
        <w:tblCellMar>
          <w:left w:w="0" w:type="dxa"/>
          <w:right w:w="0" w:type="dxa"/>
        </w:tblCellMar>
        <w:tblLook w:val="0000"/>
      </w:tblPr>
      <w:tblGrid>
        <w:gridCol w:w="1489"/>
        <w:gridCol w:w="5007"/>
        <w:gridCol w:w="3088"/>
      </w:tblGrid>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8" w:type="dxa"/>
              <w:left w:w="112" w:type="dxa"/>
              <w:bottom w:w="8" w:type="dxa"/>
              <w:right w:w="112" w:type="dxa"/>
            </w:tcMar>
          </w:tcPr>
          <w:p w:rsidR="00B10E5A" w:rsidRDefault="00B10E5A">
            <w:pPr>
              <w:spacing w:line="360" w:lineRule="auto"/>
              <w:jc w:val="center"/>
              <w:rPr>
                <w:rFonts w:eastAsia="Times New Roman"/>
                <w:sz w:val="21"/>
                <w:szCs w:val="21"/>
                <w:lang w:val="en-US" w:eastAsia="zh-CN" w:bidi="ar-SA"/>
              </w:rPr>
            </w:pPr>
            <w:r>
              <w:rPr>
                <w:rFonts w:ascii="宋体" w:hAnsi="宋体" w:cs="宋体" w:hint="eastAsia"/>
                <w:b/>
                <w:bCs/>
                <w:sz w:val="21"/>
                <w:szCs w:val="21"/>
                <w:lang w:bidi="ar-SA"/>
              </w:rPr>
              <w:t>基金代码</w:t>
            </w:r>
            <w:r>
              <w:rPr>
                <w:rFonts w:ascii="宋体" w:hAnsi="宋体" w:cs="宋体"/>
                <w:b/>
                <w:bCs/>
                <w:sz w:val="21"/>
                <w:szCs w:val="21"/>
                <w:lang w:val="en-US" w:eastAsia="zh-CN" w:bidi="ar-SA"/>
              </w:rPr>
              <w:t xml:space="preserve"> </w:t>
            </w:r>
          </w:p>
        </w:tc>
        <w:tc>
          <w:tcPr>
            <w:tcW w:w="2612" w:type="pct"/>
            <w:tcBorders>
              <w:top w:val="single" w:sz="6" w:space="0" w:color="auto"/>
              <w:bottom w:val="single" w:sz="6" w:space="0" w:color="auto"/>
              <w:right w:val="single" w:sz="6" w:space="0" w:color="auto"/>
            </w:tcBorders>
            <w:tcMar>
              <w:top w:w="8" w:type="dxa"/>
              <w:left w:w="115" w:type="dxa"/>
              <w:bottom w:w="8" w:type="dxa"/>
              <w:right w:w="112" w:type="dxa"/>
            </w:tcMar>
          </w:tcPr>
          <w:p w:rsidR="00B10E5A" w:rsidRDefault="00B10E5A">
            <w:pPr>
              <w:spacing w:line="360" w:lineRule="auto"/>
              <w:jc w:val="center"/>
              <w:rPr>
                <w:rFonts w:eastAsia="Times New Roman"/>
                <w:sz w:val="21"/>
                <w:szCs w:val="21"/>
                <w:lang w:val="en-US" w:eastAsia="zh-CN" w:bidi="ar-SA"/>
              </w:rPr>
            </w:pPr>
            <w:r>
              <w:rPr>
                <w:rFonts w:ascii="宋体" w:hAnsi="宋体" w:cs="宋体"/>
                <w:b/>
                <w:bCs/>
                <w:sz w:val="21"/>
                <w:szCs w:val="21"/>
                <w:lang w:val="en-US" w:eastAsia="zh-CN" w:bidi="ar-SA"/>
              </w:rPr>
              <w:t>基金</w:t>
            </w:r>
            <w:r>
              <w:rPr>
                <w:rFonts w:ascii="宋体" w:hAnsi="宋体" w:cs="宋体" w:hint="eastAsia"/>
                <w:b/>
                <w:bCs/>
                <w:sz w:val="21"/>
                <w:szCs w:val="21"/>
                <w:lang w:bidi="ar-SA"/>
              </w:rPr>
              <w:t>名称</w:t>
            </w:r>
            <w:r>
              <w:rPr>
                <w:rFonts w:ascii="宋体" w:hAnsi="宋体" w:cs="宋体"/>
                <w:b/>
                <w:bCs/>
                <w:sz w:val="21"/>
                <w:szCs w:val="21"/>
                <w:lang w:val="en-US" w:eastAsia="zh-CN" w:bidi="ar-SA"/>
              </w:rPr>
              <w:t xml:space="preserve"> </w:t>
            </w:r>
          </w:p>
        </w:tc>
        <w:tc>
          <w:tcPr>
            <w:tcW w:w="1611" w:type="pct"/>
            <w:tcBorders>
              <w:top w:val="single" w:sz="6" w:space="0" w:color="auto"/>
              <w:bottom w:val="single" w:sz="6" w:space="0" w:color="auto"/>
              <w:right w:val="single" w:sz="6" w:space="0" w:color="auto"/>
            </w:tcBorders>
            <w:tcMar>
              <w:top w:w="8" w:type="dxa"/>
              <w:left w:w="115" w:type="dxa"/>
              <w:bottom w:w="8" w:type="dxa"/>
              <w:right w:w="112" w:type="dxa"/>
            </w:tcMar>
          </w:tcPr>
          <w:p w:rsidR="00B10E5A" w:rsidRDefault="00B10E5A">
            <w:pPr>
              <w:spacing w:line="360" w:lineRule="auto"/>
              <w:jc w:val="center"/>
              <w:rPr>
                <w:rFonts w:hint="eastAsia"/>
                <w:sz w:val="21"/>
                <w:szCs w:val="21"/>
                <w:lang w:bidi="ar-SA"/>
              </w:rPr>
            </w:pPr>
            <w:r>
              <w:rPr>
                <w:rFonts w:ascii="宋体" w:hAnsi="宋体" w:cs="宋体"/>
                <w:b/>
                <w:bCs/>
                <w:sz w:val="21"/>
                <w:szCs w:val="21"/>
                <w:lang w:val="en-US" w:eastAsia="zh-CN" w:bidi="ar-SA"/>
              </w:rPr>
              <w:t>基金</w:t>
            </w:r>
            <w:r>
              <w:rPr>
                <w:rFonts w:ascii="宋体" w:hAnsi="宋体" w:cs="宋体" w:hint="eastAsia"/>
                <w:b/>
                <w:bCs/>
                <w:sz w:val="21"/>
                <w:szCs w:val="21"/>
                <w:lang w:bidi="ar-SA"/>
              </w:rPr>
              <w:t>简称</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color w:val="000000"/>
                <w:sz w:val="20"/>
                <w:szCs w:val="20"/>
              </w:rPr>
            </w:pPr>
            <w:r>
              <w:rPr>
                <w:rFonts w:ascii="宋体" w:hAnsi="宋体" w:hint="eastAsia"/>
                <w:color w:val="000000"/>
                <w:sz w:val="20"/>
                <w:szCs w:val="20"/>
              </w:rPr>
              <w:t>009965</w:t>
            </w:r>
          </w:p>
        </w:tc>
        <w:tc>
          <w:tcPr>
            <w:tcW w:w="2612" w:type="pct"/>
            <w:vMerge w:val="restart"/>
            <w:tcBorders>
              <w:top w:val="single" w:sz="6" w:space="0" w:color="auto"/>
              <w:left w:val="single" w:sz="6" w:space="0" w:color="auto"/>
              <w:right w:val="single" w:sz="6" w:space="0" w:color="auto"/>
            </w:tcBorders>
            <w:tcMar>
              <w:top w:w="22" w:type="dxa"/>
              <w:left w:w="22" w:type="dxa"/>
              <w:bottom w:w="22" w:type="dxa"/>
              <w:right w:w="22" w:type="dxa"/>
            </w:tcMar>
            <w:vAlign w:val="center"/>
          </w:tcPr>
          <w:p w:rsidR="00B10E5A" w:rsidRPr="00B10E5A" w:rsidRDefault="00B10E5A">
            <w:pPr>
              <w:spacing w:line="360" w:lineRule="auto"/>
              <w:jc w:val="center"/>
              <w:rPr>
                <w:rFonts w:ascii="宋体" w:hAnsi="宋体" w:cs="宋体" w:hint="eastAsia"/>
                <w:color w:val="000000"/>
                <w:sz w:val="20"/>
                <w:szCs w:val="20"/>
                <w:lang w:val="en-US" w:eastAsia="zh-CN" w:bidi="ar-SA"/>
              </w:rPr>
            </w:pPr>
            <w:r w:rsidRPr="00B10E5A">
              <w:rPr>
                <w:rFonts w:ascii="宋体" w:hAnsi="宋体" w:hint="eastAsia"/>
                <w:color w:val="000000"/>
                <w:sz w:val="20"/>
                <w:szCs w:val="20"/>
                <w:shd w:val="clear" w:color="auto" w:fill="FFFFFF"/>
              </w:rPr>
              <w:t>宝盈祥琪混合型证券投资基金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color w:val="000000"/>
                <w:sz w:val="20"/>
                <w:szCs w:val="20"/>
              </w:rPr>
            </w:pPr>
            <w:r>
              <w:rPr>
                <w:rFonts w:ascii="宋体" w:hAnsi="宋体" w:hint="eastAsia"/>
                <w:color w:val="000000"/>
                <w:sz w:val="20"/>
                <w:szCs w:val="20"/>
              </w:rPr>
              <w:t>宝盈祥琪混合A</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009966</w:t>
            </w:r>
          </w:p>
        </w:tc>
        <w:tc>
          <w:tcPr>
            <w:tcW w:w="2612" w:type="pct"/>
            <w:vMerge/>
            <w:tcBorders>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Pr="00B10E5A" w:rsidRDefault="00B10E5A">
            <w:pPr>
              <w:spacing w:line="360" w:lineRule="auto"/>
              <w:jc w:val="center"/>
              <w:rPr>
                <w:rFonts w:ascii="宋体" w:hAnsi="宋体" w:cs="宋体" w:hint="eastAsia"/>
                <w:color w:val="000000"/>
                <w:sz w:val="20"/>
                <w:szCs w:val="20"/>
                <w:lang w:val="en-US" w:eastAsia="zh-CN" w:bidi="ar-SA"/>
              </w:rPr>
            </w:pP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宝盈祥琪混合C</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010747</w:t>
            </w:r>
          </w:p>
        </w:tc>
        <w:tc>
          <w:tcPr>
            <w:tcW w:w="2612" w:type="pct"/>
            <w:vMerge w:val="restart"/>
            <w:tcBorders>
              <w:top w:val="single" w:sz="6" w:space="0" w:color="auto"/>
              <w:left w:val="single" w:sz="6" w:space="0" w:color="auto"/>
              <w:right w:val="single" w:sz="6" w:space="0" w:color="auto"/>
            </w:tcBorders>
            <w:tcMar>
              <w:top w:w="22" w:type="dxa"/>
              <w:left w:w="22" w:type="dxa"/>
              <w:bottom w:w="22" w:type="dxa"/>
              <w:right w:w="22" w:type="dxa"/>
            </w:tcMar>
            <w:vAlign w:val="center"/>
          </w:tcPr>
          <w:p w:rsidR="00B10E5A" w:rsidRPr="00B10E5A" w:rsidRDefault="00B10E5A">
            <w:pPr>
              <w:spacing w:line="360" w:lineRule="auto"/>
              <w:jc w:val="center"/>
              <w:rPr>
                <w:rFonts w:ascii="宋体" w:hAnsi="宋体" w:cs="宋体" w:hint="eastAsia"/>
                <w:color w:val="000000"/>
                <w:sz w:val="20"/>
                <w:szCs w:val="20"/>
                <w:lang w:val="en-US" w:eastAsia="zh-CN" w:bidi="ar-SA"/>
              </w:rPr>
            </w:pPr>
            <w:r w:rsidRPr="00B10E5A">
              <w:rPr>
                <w:rFonts w:ascii="宋体" w:hAnsi="宋体" w:hint="eastAsia"/>
                <w:color w:val="000000"/>
                <w:sz w:val="20"/>
                <w:szCs w:val="20"/>
                <w:shd w:val="clear" w:color="auto" w:fill="FFFFFF"/>
              </w:rPr>
              <w:t>宝盈祥和9个月定期开放混合型证券投资基金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宝盈祥和9个月定开混合A</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010748</w:t>
            </w:r>
          </w:p>
        </w:tc>
        <w:tc>
          <w:tcPr>
            <w:tcW w:w="2612" w:type="pct"/>
            <w:vMerge/>
            <w:tcBorders>
              <w:left w:val="single" w:sz="6" w:space="0" w:color="auto"/>
              <w:bottom w:val="single" w:sz="4"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宝盈祥和9个月定开混合C</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013423</w:t>
            </w:r>
          </w:p>
        </w:tc>
        <w:tc>
          <w:tcPr>
            <w:tcW w:w="2612" w:type="pct"/>
            <w:vMerge w:val="restart"/>
            <w:tcBorders>
              <w:top w:val="single" w:sz="4" w:space="0" w:color="auto"/>
              <w:left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r>
              <w:rPr>
                <w:rFonts w:ascii="宋体" w:hAnsi="宋体" w:cs="宋体" w:hint="eastAsia"/>
                <w:sz w:val="20"/>
                <w:szCs w:val="20"/>
                <w:lang w:val="en-US" w:eastAsia="zh-CN" w:bidi="ar-SA"/>
              </w:rPr>
              <w:t>宝盈安盛中短债债券型证券投资基金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宝盈安盛中短债债券A</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013424</w:t>
            </w:r>
          </w:p>
        </w:tc>
        <w:tc>
          <w:tcPr>
            <w:tcW w:w="2612" w:type="pct"/>
            <w:vMerge/>
            <w:tcBorders>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宝盈安盛中短债债券C</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013859</w:t>
            </w:r>
          </w:p>
        </w:tc>
        <w:tc>
          <w:tcPr>
            <w:tcW w:w="2612" w:type="pct"/>
            <w:vMerge w:val="restart"/>
            <w:tcBorders>
              <w:left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r>
              <w:rPr>
                <w:rFonts w:ascii="宋体" w:hAnsi="宋体" w:cs="宋体" w:hint="eastAsia"/>
                <w:sz w:val="20"/>
                <w:szCs w:val="20"/>
                <w:lang w:val="en-US" w:eastAsia="zh-CN" w:bidi="ar-SA"/>
              </w:rPr>
              <w:t>宝盈品质甄选混合型证券投资基金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宝盈品质甄选混合A</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013860</w:t>
            </w:r>
          </w:p>
        </w:tc>
        <w:tc>
          <w:tcPr>
            <w:tcW w:w="2612" w:type="pct"/>
            <w:vMerge/>
            <w:tcBorders>
              <w:left w:val="single" w:sz="6" w:space="0" w:color="auto"/>
              <w:bottom w:val="single" w:sz="4"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宝盈品质甄选混合C</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013895</w:t>
            </w:r>
          </w:p>
        </w:tc>
        <w:tc>
          <w:tcPr>
            <w:tcW w:w="2612" w:type="pct"/>
            <w:vMerge w:val="restart"/>
            <w:tcBorders>
              <w:top w:val="single" w:sz="4" w:space="0" w:color="auto"/>
              <w:left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r>
              <w:rPr>
                <w:rFonts w:ascii="宋体" w:hAnsi="宋体" w:cs="宋体" w:hint="eastAsia"/>
                <w:sz w:val="20"/>
                <w:szCs w:val="20"/>
                <w:lang w:val="en-US" w:eastAsia="zh-CN" w:bidi="ar-SA"/>
              </w:rPr>
              <w:t>宝盈成长精选混合型证券投资基金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宝盈成长精选混合A</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013896</w:t>
            </w:r>
          </w:p>
        </w:tc>
        <w:tc>
          <w:tcPr>
            <w:tcW w:w="2612" w:type="pct"/>
            <w:vMerge/>
            <w:tcBorders>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宝盈成长精选混合C</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015389</w:t>
            </w:r>
          </w:p>
        </w:tc>
        <w:tc>
          <w:tcPr>
            <w:tcW w:w="2612" w:type="pct"/>
            <w:tcBorders>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r>
              <w:rPr>
                <w:rFonts w:ascii="宋体" w:hAnsi="宋体" w:cs="宋体" w:hint="eastAsia"/>
                <w:sz w:val="20"/>
                <w:szCs w:val="20"/>
                <w:lang w:val="en-US" w:eastAsia="zh-CN" w:bidi="ar-SA"/>
              </w:rPr>
              <w:t>宝盈转型动力灵活配置混合型证券投资基金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宝盈转型动力混合C</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015574</w:t>
            </w:r>
          </w:p>
        </w:tc>
        <w:tc>
          <w:tcPr>
            <w:tcW w:w="2612" w:type="pct"/>
            <w:vMerge w:val="restart"/>
            <w:tcBorders>
              <w:left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r>
              <w:rPr>
                <w:rFonts w:ascii="宋体" w:hAnsi="宋体" w:cs="宋体" w:hint="eastAsia"/>
                <w:sz w:val="20"/>
                <w:szCs w:val="20"/>
                <w:lang w:val="en-US" w:eastAsia="zh-CN" w:bidi="ar-SA"/>
              </w:rPr>
              <w:t>宝盈新能源产业混合型发起式证券投资基金</w:t>
            </w: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宝盈新能源产业混合发起式A</w:t>
            </w:r>
          </w:p>
        </w:tc>
      </w:tr>
      <w:tr w:rsidR="00B10E5A">
        <w:trPr>
          <w:trHeight w:val="409"/>
          <w:jc w:val="center"/>
        </w:trPr>
        <w:tc>
          <w:tcPr>
            <w:tcW w:w="777"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015575</w:t>
            </w:r>
          </w:p>
        </w:tc>
        <w:tc>
          <w:tcPr>
            <w:tcW w:w="2612" w:type="pct"/>
            <w:vMerge/>
            <w:tcBorders>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spacing w:line="360" w:lineRule="auto"/>
              <w:jc w:val="center"/>
              <w:rPr>
                <w:rFonts w:ascii="宋体" w:hAnsi="宋体" w:cs="宋体" w:hint="eastAsia"/>
                <w:sz w:val="20"/>
                <w:szCs w:val="20"/>
                <w:lang w:val="en-US" w:eastAsia="zh-CN" w:bidi="ar-SA"/>
              </w:rPr>
            </w:pPr>
          </w:p>
        </w:tc>
        <w:tc>
          <w:tcPr>
            <w:tcW w:w="1611" w:type="pct"/>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tcPr>
          <w:p w:rsidR="00B10E5A" w:rsidRDefault="00B10E5A">
            <w:pPr>
              <w:jc w:val="center"/>
              <w:rPr>
                <w:rFonts w:ascii="宋体" w:hAnsi="宋体" w:hint="eastAsia"/>
                <w:color w:val="000000"/>
                <w:sz w:val="20"/>
                <w:szCs w:val="20"/>
              </w:rPr>
            </w:pPr>
            <w:r>
              <w:rPr>
                <w:rFonts w:ascii="宋体" w:hAnsi="宋体" w:hint="eastAsia"/>
                <w:color w:val="000000"/>
                <w:sz w:val="20"/>
                <w:szCs w:val="20"/>
              </w:rPr>
              <w:t>宝盈新能源产业混合发起式C</w:t>
            </w:r>
          </w:p>
        </w:tc>
      </w:tr>
    </w:tbl>
    <w:p w:rsidR="00B10E5A" w:rsidRDefault="00B10E5A">
      <w:pPr>
        <w:spacing w:line="360" w:lineRule="auto"/>
        <w:jc w:val="both"/>
        <w:rPr>
          <w:rFonts w:ascii="宋体" w:hAnsi="宋体" w:cs="宋体" w:hint="eastAsia"/>
          <w:sz w:val="21"/>
          <w:szCs w:val="21"/>
          <w:lang w:val="en-US" w:eastAsia="zh-CN" w:bidi="ar-SA"/>
        </w:rPr>
      </w:pPr>
    </w:p>
    <w:p w:rsidR="00B10E5A" w:rsidRDefault="00B10E5A">
      <w:pPr>
        <w:spacing w:line="360" w:lineRule="auto"/>
        <w:ind w:firstLineChars="100" w:firstLine="241"/>
        <w:rPr>
          <w:b/>
        </w:rPr>
      </w:pPr>
      <w:r>
        <w:rPr>
          <w:rFonts w:hint="eastAsia"/>
          <w:b/>
        </w:rPr>
        <w:t>二、活动内容</w:t>
      </w:r>
    </w:p>
    <w:p w:rsidR="00B10E5A" w:rsidRDefault="00B10E5A">
      <w:pPr>
        <w:spacing w:line="360" w:lineRule="auto"/>
        <w:ind w:firstLine="420"/>
        <w:jc w:val="both"/>
        <w:rPr>
          <w:rFonts w:ascii="宋体" w:hAnsi="宋体" w:cs="宋体" w:hint="eastAsia"/>
          <w:sz w:val="21"/>
          <w:szCs w:val="21"/>
        </w:rPr>
      </w:pPr>
      <w:r>
        <w:rPr>
          <w:rFonts w:ascii="宋体" w:hAnsi="宋体" w:cs="宋体" w:hint="eastAsia"/>
          <w:sz w:val="21"/>
          <w:szCs w:val="21"/>
        </w:rPr>
        <w:t>1、费率优惠内容</w:t>
      </w:r>
    </w:p>
    <w:p w:rsidR="00B10E5A" w:rsidRDefault="00B10E5A">
      <w:pPr>
        <w:spacing w:line="360" w:lineRule="auto"/>
        <w:ind w:firstLine="420"/>
        <w:jc w:val="both"/>
        <w:rPr>
          <w:rFonts w:ascii="宋体" w:hAnsi="宋体" w:cs="宋体" w:hint="eastAsia"/>
          <w:sz w:val="21"/>
          <w:szCs w:val="21"/>
        </w:rPr>
      </w:pPr>
      <w:r>
        <w:rPr>
          <w:rFonts w:ascii="宋体" w:hAnsi="宋体" w:cs="宋体" w:hint="eastAsia"/>
          <w:sz w:val="21"/>
          <w:szCs w:val="21"/>
        </w:rPr>
        <w:t>优惠活动期间，凡投资者通过宁波银行同业易管家平台申购本公司旗下上述开放式基金，其申购费率可享有1折优惠。适用于固定费用的，则执行其规定的固定费用，不再享有费率折扣。各基金费率请详见其法律文件及基金管理人发布的最新业务公告。</w:t>
      </w:r>
    </w:p>
    <w:p w:rsidR="00B10E5A" w:rsidRDefault="00B10E5A">
      <w:pPr>
        <w:spacing w:line="360" w:lineRule="auto"/>
        <w:ind w:firstLine="420"/>
        <w:jc w:val="both"/>
        <w:rPr>
          <w:rFonts w:ascii="宋体" w:hAnsi="宋体" w:cs="宋体" w:hint="eastAsia"/>
          <w:sz w:val="21"/>
          <w:szCs w:val="21"/>
        </w:rPr>
      </w:pPr>
      <w:r>
        <w:rPr>
          <w:rFonts w:ascii="宋体" w:hAnsi="宋体" w:cs="宋体" w:hint="eastAsia"/>
          <w:sz w:val="21"/>
          <w:szCs w:val="21"/>
        </w:rPr>
        <w:lastRenderedPageBreak/>
        <w:t>本费率优惠活动内容的解释权归宁波银行，费率优惠活动内容执行期间，调整适用基金范围、业务办理的相关规则及流程以宁波银行官</w:t>
      </w:r>
      <w:bookmarkStart w:id="0" w:name="_GoBack"/>
      <w:bookmarkEnd w:id="0"/>
      <w:r>
        <w:rPr>
          <w:rFonts w:ascii="宋体" w:hAnsi="宋体" w:cs="宋体" w:hint="eastAsia"/>
          <w:sz w:val="21"/>
          <w:szCs w:val="21"/>
        </w:rPr>
        <w:t>方公告为准。</w:t>
      </w:r>
    </w:p>
    <w:p w:rsidR="00B10E5A" w:rsidRDefault="00B10E5A">
      <w:pPr>
        <w:spacing w:line="360" w:lineRule="auto"/>
        <w:ind w:firstLine="420"/>
        <w:jc w:val="both"/>
        <w:rPr>
          <w:rFonts w:ascii="宋体" w:hAnsi="宋体" w:cs="宋体" w:hint="eastAsia"/>
          <w:sz w:val="21"/>
          <w:szCs w:val="21"/>
        </w:rPr>
      </w:pPr>
      <w:r>
        <w:rPr>
          <w:rFonts w:ascii="宋体" w:hAnsi="宋体" w:cs="宋体" w:hint="eastAsia"/>
          <w:sz w:val="21"/>
          <w:szCs w:val="21"/>
        </w:rPr>
        <w:t>2、费率优惠期限</w:t>
      </w:r>
    </w:p>
    <w:p w:rsidR="00B10E5A" w:rsidRDefault="00B10E5A">
      <w:pPr>
        <w:spacing w:line="360" w:lineRule="auto"/>
        <w:ind w:firstLine="420"/>
        <w:jc w:val="both"/>
        <w:rPr>
          <w:rFonts w:ascii="宋体" w:hAnsi="宋体" w:cs="宋体" w:hint="eastAsia"/>
          <w:sz w:val="21"/>
          <w:szCs w:val="21"/>
        </w:rPr>
      </w:pPr>
      <w:r>
        <w:rPr>
          <w:rFonts w:ascii="宋体" w:hAnsi="宋体" w:cs="宋体" w:hint="eastAsia"/>
          <w:sz w:val="21"/>
          <w:szCs w:val="21"/>
        </w:rPr>
        <w:t xml:space="preserve">费率优惠起始时间、结束时间请以宁波银行官方公告为准。 </w:t>
      </w:r>
    </w:p>
    <w:p w:rsidR="00B10E5A" w:rsidRDefault="00B10E5A">
      <w:pPr>
        <w:adjustRightInd w:val="0"/>
        <w:snapToGrid w:val="0"/>
        <w:spacing w:line="360" w:lineRule="auto"/>
        <w:rPr>
          <w:rFonts w:ascii="宋体" w:hAnsi="宋体"/>
          <w:sz w:val="22"/>
        </w:rPr>
      </w:pPr>
      <w:r>
        <w:rPr>
          <w:rFonts w:hint="eastAsia"/>
          <w:b/>
        </w:rPr>
        <w:t>三、</w:t>
      </w:r>
      <w:r>
        <w:rPr>
          <w:b/>
        </w:rPr>
        <w:t>重要提示</w:t>
      </w:r>
    </w:p>
    <w:p w:rsidR="00B10E5A" w:rsidRDefault="00B10E5A">
      <w:pPr>
        <w:spacing w:line="360" w:lineRule="auto"/>
        <w:ind w:firstLine="420"/>
        <w:jc w:val="both"/>
        <w:rPr>
          <w:rFonts w:ascii="宋体" w:hAnsi="宋体" w:cs="宋体"/>
          <w:sz w:val="21"/>
          <w:szCs w:val="21"/>
        </w:rPr>
      </w:pPr>
      <w:r>
        <w:rPr>
          <w:rFonts w:ascii="宋体" w:hAnsi="宋体" w:cs="宋体" w:hint="eastAsia"/>
          <w:sz w:val="21"/>
          <w:szCs w:val="21"/>
        </w:rPr>
        <w:t>1、本次优惠活动仅适用于处于正常申购期的基金产品的前端收费模式的申购手续费，不包括各基金的后端收费模式的申购手续费，也不包括基金转换等其他业务的手续费。</w:t>
      </w:r>
    </w:p>
    <w:p w:rsidR="00B10E5A" w:rsidRDefault="00B10E5A">
      <w:pPr>
        <w:spacing w:line="360" w:lineRule="auto"/>
        <w:ind w:firstLine="420"/>
        <w:jc w:val="both"/>
        <w:rPr>
          <w:rFonts w:ascii="宋体" w:hAnsi="宋体" w:cs="宋体"/>
          <w:sz w:val="21"/>
          <w:szCs w:val="21"/>
        </w:rPr>
      </w:pPr>
      <w:r>
        <w:rPr>
          <w:rFonts w:ascii="宋体" w:hAnsi="宋体" w:cs="宋体"/>
          <w:sz w:val="21"/>
          <w:szCs w:val="21"/>
        </w:rPr>
        <w:t>2</w:t>
      </w:r>
      <w:r>
        <w:rPr>
          <w:rFonts w:ascii="宋体" w:hAnsi="宋体" w:cs="宋体" w:hint="eastAsia"/>
          <w:sz w:val="21"/>
          <w:szCs w:val="21"/>
        </w:rPr>
        <w:t>、投资者欲了解上述基金产品的详细情况，请仔细阅读上述基金的基金合同、招募说明书（更新）等法律文件。</w:t>
      </w:r>
    </w:p>
    <w:p w:rsidR="00B10E5A" w:rsidRDefault="00B10E5A">
      <w:pPr>
        <w:spacing w:line="360" w:lineRule="auto"/>
      </w:pPr>
    </w:p>
    <w:p w:rsidR="00B10E5A" w:rsidRDefault="00B10E5A">
      <w:pPr>
        <w:pStyle w:val="a5"/>
        <w:snapToGrid w:val="0"/>
        <w:spacing w:before="0" w:beforeAutospacing="0" w:after="0" w:afterAutospacing="0" w:line="360" w:lineRule="auto"/>
        <w:jc w:val="both"/>
        <w:outlineLvl w:val="0"/>
        <w:rPr>
          <w:rFonts w:ascii="Times New Roman" w:hAnsi="Times New Roman" w:cs="Times New Roman" w:hint="eastAsia"/>
          <w:b/>
        </w:rPr>
      </w:pPr>
      <w:r>
        <w:rPr>
          <w:rFonts w:ascii="Times New Roman" w:hAnsi="Times New Roman" w:cs="Times New Roman" w:hint="eastAsia"/>
          <w:b/>
        </w:rPr>
        <w:t>四</w:t>
      </w:r>
      <w:r>
        <w:rPr>
          <w:rFonts w:ascii="Times New Roman" w:hAnsi="Times New Roman" w:cs="Times New Roman"/>
          <w:b/>
        </w:rPr>
        <w:t>、投资者可通过以下途径咨询有关情况</w:t>
      </w:r>
    </w:p>
    <w:p w:rsidR="00B10E5A" w:rsidRDefault="00B10E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上述基金的具体业务规则、费率及相关重要事项等详见本公司发布的上述基金基金合同、招募说明书（更新）及相关业务公告。投资者可通过以下途径咨询有关详情：</w:t>
      </w:r>
    </w:p>
    <w:p w:rsidR="00B10E5A" w:rsidRDefault="00B10E5A">
      <w:pPr>
        <w:spacing w:line="360" w:lineRule="auto"/>
        <w:ind w:firstLine="480"/>
        <w:jc w:val="both"/>
        <w:rPr>
          <w:rFonts w:eastAsia="Times New Roman"/>
          <w:lang w:val="en-US" w:eastAsia="zh-CN" w:bidi="ar-SA"/>
        </w:rPr>
      </w:pPr>
      <w:r>
        <w:rPr>
          <w:rFonts w:ascii="宋体" w:hAnsi="宋体" w:cs="宋体"/>
          <w:b/>
          <w:bCs/>
          <w:lang w:val="en-US" w:eastAsia="zh-CN" w:bidi="ar-SA"/>
        </w:rPr>
        <w:t>1. 宁波银行股份有限公司</w:t>
      </w:r>
    </w:p>
    <w:p w:rsidR="00B10E5A" w:rsidRDefault="00B10E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客户服务电话：95574</w:t>
      </w:r>
    </w:p>
    <w:p w:rsidR="00B10E5A" w:rsidRDefault="00B10E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公司网站：www.nbcb.com.cn</w:t>
      </w:r>
    </w:p>
    <w:p w:rsidR="00B10E5A" w:rsidRDefault="00B10E5A">
      <w:pPr>
        <w:spacing w:line="360" w:lineRule="auto"/>
        <w:ind w:firstLine="480"/>
        <w:jc w:val="both"/>
        <w:rPr>
          <w:rFonts w:eastAsia="Times New Roman"/>
          <w:lang w:val="en-US" w:eastAsia="zh-CN" w:bidi="ar-SA"/>
        </w:rPr>
      </w:pPr>
      <w:r>
        <w:rPr>
          <w:rFonts w:ascii="宋体" w:hAnsi="宋体" w:cs="宋体"/>
          <w:b/>
          <w:bCs/>
          <w:lang w:val="en-US" w:eastAsia="zh-CN" w:bidi="ar-SA"/>
        </w:rPr>
        <w:t xml:space="preserve">2. </w:t>
      </w:r>
      <w:r>
        <w:rPr>
          <w:rFonts w:ascii="宋体" w:hAnsi="宋体" w:cs="宋体" w:hint="eastAsia"/>
          <w:b/>
          <w:bCs/>
          <w:lang w:bidi="ar-SA"/>
        </w:rPr>
        <w:t>宝盈</w:t>
      </w:r>
      <w:r>
        <w:rPr>
          <w:rFonts w:ascii="宋体" w:hAnsi="宋体" w:cs="宋体"/>
          <w:b/>
          <w:bCs/>
          <w:lang w:val="en-US" w:eastAsia="zh-CN" w:bidi="ar-SA"/>
        </w:rPr>
        <w:t>基金管理有限公司</w:t>
      </w:r>
    </w:p>
    <w:p w:rsidR="00B10E5A" w:rsidRDefault="00B10E5A">
      <w:pPr>
        <w:spacing w:line="360" w:lineRule="auto"/>
        <w:ind w:firstLine="420"/>
        <w:jc w:val="both"/>
        <w:rPr>
          <w:sz w:val="21"/>
          <w:szCs w:val="21"/>
          <w:lang w:bidi="ar-SA"/>
        </w:rPr>
      </w:pPr>
      <w:r>
        <w:rPr>
          <w:rFonts w:ascii="宋体" w:hAnsi="宋体" w:cs="宋体"/>
          <w:sz w:val="21"/>
          <w:szCs w:val="21"/>
          <w:lang w:val="en-US" w:eastAsia="zh-CN" w:bidi="ar-SA"/>
        </w:rPr>
        <w:t>客户服务中心电话：</w:t>
      </w:r>
      <w:r>
        <w:rPr>
          <w:rFonts w:ascii="宋体" w:hAnsi="宋体" w:cs="宋体" w:hint="eastAsia"/>
          <w:sz w:val="21"/>
          <w:szCs w:val="21"/>
          <w:lang w:bidi="ar-SA"/>
        </w:rPr>
        <w:t>4008888300</w:t>
      </w:r>
    </w:p>
    <w:p w:rsidR="00B10E5A" w:rsidRDefault="00B10E5A">
      <w:pPr>
        <w:spacing w:line="360" w:lineRule="auto"/>
        <w:ind w:firstLine="420"/>
        <w:jc w:val="both"/>
        <w:rPr>
          <w:sz w:val="21"/>
          <w:szCs w:val="21"/>
          <w:lang w:bidi="ar-SA"/>
        </w:rPr>
      </w:pPr>
      <w:r>
        <w:rPr>
          <w:rFonts w:ascii="宋体" w:hAnsi="宋体" w:cs="宋体"/>
          <w:sz w:val="21"/>
          <w:szCs w:val="21"/>
          <w:lang w:val="en-US" w:eastAsia="zh-CN" w:bidi="ar-SA"/>
        </w:rPr>
        <w:t xml:space="preserve">网址： </w:t>
      </w:r>
      <w:r>
        <w:rPr>
          <w:rFonts w:ascii="宋体" w:hAnsi="宋体" w:cs="宋体" w:hint="eastAsia"/>
          <w:sz w:val="21"/>
          <w:szCs w:val="21"/>
          <w:lang w:bidi="ar-SA"/>
        </w:rPr>
        <w:t>www.byfunds.com</w:t>
      </w:r>
    </w:p>
    <w:p w:rsidR="00B10E5A" w:rsidRDefault="00B10E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投资者投资于本公司上述基金时应认真阅读相关基金基金合同、招募说明书（更新）等文件，并根据自身风险承受能力选择适合自己的基金产品。敬请投资者注意投资风险。</w:t>
      </w:r>
    </w:p>
    <w:p w:rsidR="00B10E5A" w:rsidRDefault="00B10E5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B10E5A" w:rsidRDefault="00B10E5A">
      <w:pPr>
        <w:spacing w:line="360" w:lineRule="auto"/>
        <w:ind w:firstLine="480"/>
        <w:jc w:val="both"/>
        <w:rPr>
          <w:rFonts w:eastAsia="Times New Roman"/>
          <w:lang w:val="en-US" w:eastAsia="zh-CN" w:bidi="ar-SA"/>
        </w:rPr>
      </w:pPr>
      <w:r>
        <w:rPr>
          <w:lang w:val="en-US" w:eastAsia="zh-CN" w:bidi="ar-SA"/>
        </w:rPr>
        <w:t> </w:t>
      </w:r>
    </w:p>
    <w:p w:rsidR="00B10E5A" w:rsidRDefault="00B10E5A">
      <w:pPr>
        <w:spacing w:line="360" w:lineRule="auto"/>
        <w:ind w:firstLine="420"/>
        <w:jc w:val="right"/>
        <w:rPr>
          <w:rFonts w:eastAsia="Times New Roman"/>
          <w:sz w:val="21"/>
          <w:szCs w:val="21"/>
          <w:lang w:val="en-US" w:eastAsia="zh-CN" w:bidi="ar-SA"/>
        </w:rPr>
      </w:pPr>
      <w:r>
        <w:rPr>
          <w:rFonts w:ascii="宋体" w:hAnsi="宋体" w:cs="宋体" w:hint="eastAsia"/>
          <w:sz w:val="21"/>
          <w:szCs w:val="21"/>
          <w:lang w:bidi="ar-SA"/>
        </w:rPr>
        <w:t>宝盈</w:t>
      </w:r>
      <w:r>
        <w:rPr>
          <w:rFonts w:ascii="宋体" w:hAnsi="宋体" w:cs="宋体"/>
          <w:sz w:val="21"/>
          <w:szCs w:val="21"/>
          <w:lang w:val="en-US" w:eastAsia="zh-CN" w:bidi="ar-SA"/>
        </w:rPr>
        <w:t xml:space="preserve">基金管理有限公司 </w:t>
      </w:r>
    </w:p>
    <w:p w:rsidR="00B10E5A" w:rsidRDefault="00B10E5A">
      <w:pPr>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202</w:t>
      </w:r>
      <w:r>
        <w:rPr>
          <w:rFonts w:ascii="宋体" w:hAnsi="宋体" w:cs="宋体" w:hint="eastAsia"/>
          <w:sz w:val="21"/>
          <w:szCs w:val="21"/>
          <w:lang w:bidi="ar-SA"/>
        </w:rPr>
        <w:t>2</w:t>
      </w:r>
      <w:r>
        <w:rPr>
          <w:rFonts w:ascii="宋体" w:hAnsi="宋体" w:cs="宋体"/>
          <w:sz w:val="21"/>
          <w:szCs w:val="21"/>
          <w:lang w:val="en-US" w:eastAsia="zh-CN" w:bidi="ar-SA"/>
        </w:rPr>
        <w:t>年</w:t>
      </w:r>
      <w:r>
        <w:rPr>
          <w:rFonts w:ascii="宋体" w:hAnsi="宋体" w:cs="宋体"/>
          <w:sz w:val="21"/>
          <w:szCs w:val="21"/>
          <w:lang w:bidi="ar-SA"/>
        </w:rPr>
        <w:t>5</w:t>
      </w:r>
      <w:r>
        <w:rPr>
          <w:rFonts w:ascii="宋体" w:hAnsi="宋体" w:cs="宋体"/>
          <w:sz w:val="21"/>
          <w:szCs w:val="21"/>
          <w:lang w:val="en-US" w:eastAsia="zh-CN" w:bidi="ar-SA"/>
        </w:rPr>
        <w:t>月</w:t>
      </w:r>
      <w:r>
        <w:rPr>
          <w:rFonts w:ascii="宋体" w:hAnsi="宋体" w:cs="宋体" w:hint="eastAsia"/>
          <w:sz w:val="21"/>
          <w:szCs w:val="21"/>
          <w:lang w:bidi="ar-SA"/>
        </w:rPr>
        <w:t>20</w:t>
      </w:r>
      <w:r>
        <w:rPr>
          <w:rFonts w:ascii="宋体" w:hAnsi="宋体" w:cs="宋体"/>
          <w:sz w:val="21"/>
          <w:szCs w:val="21"/>
          <w:lang w:val="en-US" w:eastAsia="zh-CN" w:bidi="ar-SA"/>
        </w:rPr>
        <w:t>日</w:t>
      </w:r>
    </w:p>
    <w:p w:rsidR="00B10E5A" w:rsidRDefault="00B10E5A">
      <w:pPr>
        <w:spacing w:line="360" w:lineRule="auto"/>
      </w:pPr>
    </w:p>
    <w:sectPr w:rsidR="00B10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noPunctuationKerning/>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WUxNDAwYThiODkzZDY1YWZlMmQzMDE4NDFjYjhmYzcifQ=="/>
  </w:docVars>
  <w:rsids>
    <w:rsidRoot w:val="00A77B3E"/>
    <w:rsid w:val="001B71DD"/>
    <w:rsid w:val="00240559"/>
    <w:rsid w:val="003714C9"/>
    <w:rsid w:val="00471420"/>
    <w:rsid w:val="00472033"/>
    <w:rsid w:val="005951DA"/>
    <w:rsid w:val="0063459A"/>
    <w:rsid w:val="0064497F"/>
    <w:rsid w:val="006C364A"/>
    <w:rsid w:val="00775EB2"/>
    <w:rsid w:val="007D581F"/>
    <w:rsid w:val="00A77B3E"/>
    <w:rsid w:val="00B10E5A"/>
    <w:rsid w:val="00BB48C8"/>
    <w:rsid w:val="00BC1ADC"/>
    <w:rsid w:val="00C029D6"/>
    <w:rsid w:val="00C06F40"/>
    <w:rsid w:val="00CA2A55"/>
    <w:rsid w:val="00D13A4F"/>
    <w:rsid w:val="00EE7B45"/>
    <w:rsid w:val="00FD4146"/>
    <w:rsid w:val="00FE7143"/>
    <w:rsid w:val="095F3199"/>
    <w:rsid w:val="0FDD306A"/>
    <w:rsid w:val="10433815"/>
    <w:rsid w:val="17546F57"/>
    <w:rsid w:val="25345104"/>
    <w:rsid w:val="27FF7BCA"/>
    <w:rsid w:val="2A9D36CA"/>
    <w:rsid w:val="31F469E0"/>
    <w:rsid w:val="37BF1094"/>
    <w:rsid w:val="427F6E85"/>
    <w:rsid w:val="440C36FA"/>
    <w:rsid w:val="4A516E8B"/>
    <w:rsid w:val="4CC36B68"/>
    <w:rsid w:val="51744666"/>
    <w:rsid w:val="557B5BE2"/>
    <w:rsid w:val="66263F83"/>
    <w:rsid w:val="6C72366B"/>
    <w:rsid w:val="6F4306D9"/>
    <w:rsid w:val="6FD555C3"/>
    <w:rsid w:val="6FF70753"/>
    <w:rsid w:val="705D4A5A"/>
    <w:rsid w:val="71D1716F"/>
    <w:rsid w:val="73B9644B"/>
    <w:rsid w:val="746A7697"/>
    <w:rsid w:val="754F21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pPr>
      <w:spacing w:before="100" w:beforeAutospacing="1" w:after="100" w:afterAutospacing="1"/>
      <w:outlineLvl w:val="3"/>
    </w:pPr>
    <w:rPr>
      <w:rFonts w:ascii="宋体" w:hAnsi="宋体" w:hint="eastAsia"/>
      <w:b/>
      <w:bC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character" w:customStyle="1" w:styleId="Char">
    <w:name w:val="页脚 Char"/>
    <w:link w:val="a3"/>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sz w:val="18"/>
      <w:szCs w:val="18"/>
    </w:rPr>
  </w:style>
  <w:style w:type="paragraph" w:styleId="a5">
    <w:name w:val="Normal (Web)"/>
    <w:basedOn w:val="a"/>
    <w:unhideWhenUsed/>
    <w:pPr>
      <w:spacing w:before="100" w:beforeAutospacing="1" w:after="100" w:afterAutospacing="1"/>
    </w:pPr>
    <w:rPr>
      <w:rFonts w:ascii="宋体" w:hAnsi="宋体" w:cs="宋体"/>
    </w:rPr>
  </w:style>
  <w:style w:type="paragraph" w:styleId="a6">
    <w:name w:val="List Paragraph"/>
    <w:basedOn w:val="a"/>
    <w:uiPriority w:val="34"/>
    <w:qFormat/>
    <w:pPr>
      <w:widowControl w:val="0"/>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4</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谢绮萍</dc:creator>
  <cp:keywords/>
  <cp:lastModifiedBy>ZHONGM</cp:lastModifiedBy>
  <cp:revision>2</cp:revision>
  <dcterms:created xsi:type="dcterms:W3CDTF">2022-05-19T16:02:00Z</dcterms:created>
  <dcterms:modified xsi:type="dcterms:W3CDTF">2022-05-19T16:02:00Z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359B39B66F6748B2BD13F9F814993E15</vt:lpwstr>
  </property>
</Properties>
</file>