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30" w:rsidRDefault="004F1830">
      <w:pPr>
        <w:spacing w:line="360" w:lineRule="auto"/>
        <w:jc w:val="center"/>
        <w:rPr>
          <w:rFonts w:ascii="宋体" w:hAnsi="宋体"/>
          <w:b/>
          <w:color w:val="333333"/>
          <w:spacing w:val="33"/>
          <w:kern w:val="0"/>
          <w:sz w:val="24"/>
          <w:szCs w:val="24"/>
        </w:rPr>
      </w:pPr>
      <w:hyperlink r:id="rId6" w:tgtFrame="_blank" w:history="1"/>
      <w:hyperlink r:id="rId7" w:tgtFrame="_blank" w:history="1"/>
      <w:hyperlink r:id="rId8" w:tgtFrame="_blank" w:history="1">
        <w:r w:rsidR="006E0D02">
          <w:rPr>
            <w:rFonts w:ascii="宋体" w:hAnsi="宋体" w:hint="eastAsia"/>
            <w:b/>
            <w:color w:val="333333"/>
            <w:spacing w:val="33"/>
            <w:kern w:val="0"/>
            <w:sz w:val="24"/>
            <w:szCs w:val="24"/>
          </w:rPr>
          <w:t>南方基金</w:t>
        </w:r>
      </w:hyperlink>
      <w:r w:rsidR="006E0D02">
        <w:rPr>
          <w:rFonts w:ascii="宋体" w:hAnsi="宋体" w:hint="eastAsia"/>
          <w:b/>
          <w:color w:val="333333"/>
          <w:spacing w:val="33"/>
          <w:kern w:val="0"/>
          <w:sz w:val="24"/>
          <w:szCs w:val="24"/>
        </w:rPr>
        <w:t>关于旗下部分基金增加</w:t>
      </w:r>
    </w:p>
    <w:p w:rsidR="004F1830" w:rsidRDefault="006E0D02">
      <w:pPr>
        <w:spacing w:line="360" w:lineRule="auto"/>
        <w:jc w:val="center"/>
        <w:outlineLvl w:val="0"/>
        <w:rPr>
          <w:rFonts w:ascii="宋体" w:hAnsi="宋体"/>
          <w:b/>
          <w:color w:val="333333"/>
          <w:spacing w:val="33"/>
          <w:kern w:val="0"/>
          <w:sz w:val="24"/>
          <w:szCs w:val="24"/>
        </w:rPr>
      </w:pPr>
      <w:r>
        <w:rPr>
          <w:rFonts w:ascii="宋体" w:hAnsi="宋体" w:hint="eastAsia"/>
          <w:b/>
          <w:color w:val="333333"/>
          <w:spacing w:val="33"/>
          <w:kern w:val="0"/>
          <w:sz w:val="24"/>
          <w:szCs w:val="24"/>
        </w:rPr>
        <w:t>兴业银行为销售机构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4F1830" w:rsidRDefault="004F1830">
      <w:pPr>
        <w:spacing w:line="360" w:lineRule="auto"/>
        <w:ind w:firstLineChars="250" w:firstLine="525"/>
        <w:rPr>
          <w:rFonts w:ascii="宋体" w:hAnsi="宋体"/>
          <w:szCs w:val="21"/>
        </w:rPr>
      </w:pPr>
    </w:p>
    <w:p w:rsidR="004F1830" w:rsidRDefault="006E0D02">
      <w:pPr>
        <w:widowControl/>
        <w:spacing w:line="360" w:lineRule="auto"/>
        <w:ind w:firstLineChars="240" w:firstLine="504"/>
        <w:jc w:val="left"/>
        <w:rPr>
          <w:rFonts w:ascii="宋体" w:hAnsi="宋体"/>
          <w:szCs w:val="21"/>
        </w:rPr>
      </w:pPr>
      <w:r>
        <w:rPr>
          <w:rFonts w:ascii="宋体" w:hAnsi="宋体" w:hint="eastAsia"/>
          <w:szCs w:val="21"/>
        </w:rPr>
        <w:t>根据</w:t>
      </w:r>
      <w:hyperlink r:id="rId9" w:tgtFrame="_blank" w:history="1"/>
      <w:hyperlink r:id="rId10" w:tgtFrame="_blank" w:history="1">
        <w:r>
          <w:rPr>
            <w:rFonts w:ascii="宋体" w:hAnsi="宋体" w:hint="eastAsia"/>
            <w:szCs w:val="21"/>
          </w:rPr>
          <w:t>南方基金</w:t>
        </w:r>
      </w:hyperlink>
      <w:r>
        <w:rPr>
          <w:rFonts w:ascii="宋体" w:hAnsi="宋体" w:hint="eastAsia"/>
          <w:szCs w:val="21"/>
        </w:rPr>
        <w:t>管理股份有限公司（简称“本公司”）与兴业银行股份有限公司</w:t>
      </w:r>
      <w:r>
        <w:rPr>
          <w:rFonts w:hint="eastAsia"/>
        </w:rPr>
        <w:t>（简称“</w:t>
      </w:r>
      <w:r>
        <w:rPr>
          <w:rFonts w:hint="eastAsia"/>
        </w:rPr>
        <w:t>兴业银行</w:t>
      </w:r>
      <w:r>
        <w:rPr>
          <w:rFonts w:hint="eastAsia"/>
        </w:rPr>
        <w:t>”）签署的销售合作协议，兴业银行“机构投资●交易平台”将</w:t>
      </w:r>
      <w:r>
        <w:rPr>
          <w:rFonts w:ascii="宋体" w:hAnsi="宋体" w:hint="eastAsia"/>
          <w:szCs w:val="21"/>
        </w:rPr>
        <w:t>自</w:t>
      </w:r>
      <w:r>
        <w:rPr>
          <w:rFonts w:ascii="宋体" w:hAnsi="宋体" w:hint="eastAsia"/>
          <w:szCs w:val="21"/>
        </w:rPr>
        <w:t>2022</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11</w:t>
      </w:r>
      <w:r>
        <w:rPr>
          <w:rFonts w:ascii="宋体" w:hAnsi="宋体" w:hint="eastAsia"/>
          <w:szCs w:val="21"/>
        </w:rPr>
        <w:t>日</w:t>
      </w:r>
      <w:r>
        <w:rPr>
          <w:rFonts w:ascii="宋体" w:hAnsi="宋体" w:hint="eastAsia"/>
          <w:szCs w:val="21"/>
        </w:rPr>
        <w:t>起代理销售本公司旗下部分基金。</w:t>
      </w:r>
      <w:r>
        <w:rPr>
          <w:rFonts w:ascii="宋体" w:hAnsi="宋体"/>
          <w:szCs w:val="21"/>
        </w:rPr>
        <w:t>现将有关事项公告如下</w:t>
      </w:r>
      <w:r>
        <w:rPr>
          <w:rFonts w:ascii="宋体" w:hAnsi="宋体" w:hint="eastAsia"/>
          <w:szCs w:val="21"/>
        </w:rPr>
        <w:t>:</w:t>
      </w:r>
    </w:p>
    <w:p w:rsidR="004F1830" w:rsidRDefault="006E0D02">
      <w:pPr>
        <w:numPr>
          <w:ilvl w:val="0"/>
          <w:numId w:val="1"/>
        </w:numPr>
        <w:spacing w:line="360" w:lineRule="auto"/>
        <w:rPr>
          <w:rFonts w:ascii="宋体" w:hAnsi="宋体"/>
          <w:b/>
          <w:szCs w:val="21"/>
        </w:rPr>
      </w:pPr>
      <w:r>
        <w:rPr>
          <w:rFonts w:ascii="宋体" w:hAnsi="宋体" w:hint="eastAsia"/>
          <w:b/>
          <w:szCs w:val="21"/>
        </w:rPr>
        <w:t>适用基金及业务范围</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302"/>
        <w:gridCol w:w="5402"/>
      </w:tblGrid>
      <w:tr w:rsidR="004F1830">
        <w:trPr>
          <w:trHeight w:val="315"/>
        </w:trPr>
        <w:tc>
          <w:tcPr>
            <w:tcW w:w="351" w:type="pct"/>
          </w:tcPr>
          <w:p w:rsidR="004F1830" w:rsidRDefault="006E0D02">
            <w:pPr>
              <w:widowControl/>
              <w:jc w:val="center"/>
              <w:rPr>
                <w:rFonts w:ascii="宋体" w:hAnsi="宋体" w:cs="宋体"/>
                <w:b/>
                <w:bCs/>
                <w:kern w:val="0"/>
                <w:sz w:val="18"/>
                <w:szCs w:val="18"/>
              </w:rPr>
            </w:pPr>
            <w:r>
              <w:rPr>
                <w:rFonts w:ascii="宋体" w:hAnsi="宋体" w:cs="宋体" w:hint="eastAsia"/>
                <w:b/>
                <w:bCs/>
                <w:kern w:val="0"/>
                <w:sz w:val="18"/>
                <w:szCs w:val="18"/>
              </w:rPr>
              <w:t xml:space="preserve">编号　</w:t>
            </w:r>
          </w:p>
        </w:tc>
        <w:tc>
          <w:tcPr>
            <w:tcW w:w="1389" w:type="pct"/>
          </w:tcPr>
          <w:p w:rsidR="004F1830" w:rsidRDefault="006E0D02">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3259" w:type="pct"/>
          </w:tcPr>
          <w:p w:rsidR="004F1830" w:rsidRDefault="006E0D02">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000816</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南方理财金交易型货币市场基金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2</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001181</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南方改革机遇灵活配置混合型证券投资基金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3</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001536</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南方君选灵活配置混合型证券投资基金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4</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002160</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南方转型驱动灵活配置混合型证券投资基金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5</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002324</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南方日添益货币市场基金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6</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003473</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南方天天利货币市场基金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7</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003474</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南方天天利货币市场基金</w:t>
            </w:r>
            <w:r>
              <w:rPr>
                <w:rFonts w:ascii="宋体" w:hAnsi="宋体" w:cs="宋体" w:hint="eastAsia"/>
                <w:kern w:val="0"/>
                <w:sz w:val="18"/>
                <w:szCs w:val="18"/>
                <w:lang/>
              </w:rPr>
              <w:t>B</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8</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003956</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南方产业智选股票型证券投资基金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9</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004224</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南方军工改革灵活配置混合型证券投资基金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10</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004702</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南方金融主题灵活配置混合型证券投资基金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11</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004970</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南方天天宝货币市场基金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12</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004971</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南方天天宝货币市场基金</w:t>
            </w:r>
            <w:r>
              <w:rPr>
                <w:rFonts w:ascii="宋体" w:hAnsi="宋体" w:cs="宋体" w:hint="eastAsia"/>
                <w:kern w:val="0"/>
                <w:sz w:val="18"/>
                <w:szCs w:val="18"/>
                <w:lang/>
              </w:rPr>
              <w:t>B</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13</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005024</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南方兴利半年定期开放债券型发起式证券投资基金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14</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005207</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南方高端装备灵活配置混合型证券投资基金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15</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005741</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南方君信灵活配置混合型证券投资基金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rPr>
            </w:pPr>
            <w:r>
              <w:rPr>
                <w:rFonts w:ascii="宋体" w:hAnsi="宋体" w:cs="宋体" w:hint="eastAsia"/>
                <w:color w:val="000000"/>
                <w:kern w:val="0"/>
                <w:sz w:val="18"/>
                <w:szCs w:val="18"/>
                <w:lang/>
              </w:rPr>
              <w:t>16</w:t>
            </w:r>
          </w:p>
        </w:tc>
        <w:tc>
          <w:tcPr>
            <w:tcW w:w="138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005742</w:t>
            </w:r>
          </w:p>
        </w:tc>
        <w:tc>
          <w:tcPr>
            <w:tcW w:w="3259" w:type="pct"/>
            <w:vAlign w:val="center"/>
          </w:tcPr>
          <w:p w:rsidR="004F1830" w:rsidRDefault="006E0D02">
            <w:pPr>
              <w:widowControl/>
              <w:jc w:val="center"/>
              <w:rPr>
                <w:rFonts w:ascii="宋体" w:hAnsi="宋体" w:cs="宋体"/>
                <w:kern w:val="0"/>
                <w:sz w:val="18"/>
                <w:szCs w:val="18"/>
              </w:rPr>
            </w:pPr>
            <w:r>
              <w:rPr>
                <w:rFonts w:ascii="宋体" w:hAnsi="宋体" w:cs="宋体" w:hint="eastAsia"/>
                <w:kern w:val="0"/>
                <w:sz w:val="18"/>
                <w:szCs w:val="18"/>
                <w:lang/>
              </w:rPr>
              <w:t>南方成安优选灵活配置混合型证券投资基金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17</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006183</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南方泽元债券型证券投资基金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18</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007491</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南方信息创新混合型证券投资基金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19</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008783</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南方乐元中短期利率债债券型证券投资基金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20</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008784</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南方乐元中短期利率债债券型证券投资基金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21</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009535</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南方升元中短期利率债债券型证券投资基金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22</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009615</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南方中债</w:t>
            </w:r>
            <w:r>
              <w:rPr>
                <w:rFonts w:ascii="宋体" w:hAnsi="宋体" w:cs="宋体" w:hint="eastAsia"/>
                <w:kern w:val="0"/>
                <w:sz w:val="18"/>
                <w:szCs w:val="18"/>
                <w:lang/>
              </w:rPr>
              <w:t>0-2</w:t>
            </w:r>
            <w:r>
              <w:rPr>
                <w:rFonts w:ascii="宋体" w:hAnsi="宋体" w:cs="宋体" w:hint="eastAsia"/>
                <w:kern w:val="0"/>
                <w:sz w:val="18"/>
                <w:szCs w:val="18"/>
                <w:lang/>
              </w:rPr>
              <w:t>年国开行债券指数证券投资基金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23</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009616</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南方中债</w:t>
            </w:r>
            <w:r>
              <w:rPr>
                <w:rFonts w:ascii="宋体" w:hAnsi="宋体" w:cs="宋体" w:hint="eastAsia"/>
                <w:kern w:val="0"/>
                <w:sz w:val="18"/>
                <w:szCs w:val="18"/>
                <w:lang/>
              </w:rPr>
              <w:t>0-2</w:t>
            </w:r>
            <w:r>
              <w:rPr>
                <w:rFonts w:ascii="宋体" w:hAnsi="宋体" w:cs="宋体" w:hint="eastAsia"/>
                <w:kern w:val="0"/>
                <w:sz w:val="18"/>
                <w:szCs w:val="18"/>
                <w:lang/>
              </w:rPr>
              <w:t>年国开行债券指数证券投资基金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24</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010150</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南方君信灵活配置混合型证券投资基金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25</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011910</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南方臻利</w:t>
            </w:r>
            <w:r>
              <w:rPr>
                <w:rFonts w:ascii="宋体" w:hAnsi="宋体" w:cs="宋体" w:hint="eastAsia"/>
                <w:kern w:val="0"/>
                <w:sz w:val="18"/>
                <w:szCs w:val="18"/>
                <w:lang/>
              </w:rPr>
              <w:t>3</w:t>
            </w:r>
            <w:r>
              <w:rPr>
                <w:rFonts w:ascii="宋体" w:hAnsi="宋体" w:cs="宋体" w:hint="eastAsia"/>
                <w:kern w:val="0"/>
                <w:sz w:val="18"/>
                <w:szCs w:val="18"/>
                <w:lang/>
              </w:rPr>
              <w:t>个月定期开放债券型发起式证券投资基金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26</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012355</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南方新能源产业趋势混合型证券投资基金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27</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013197</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南方兴锦利一年定期开放债券型发起式证券投资基金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28</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013500</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南方金融主题灵活配置混合型证券投资基金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lastRenderedPageBreak/>
              <w:t>29</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013592</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南方中债</w:t>
            </w:r>
            <w:r>
              <w:rPr>
                <w:rFonts w:ascii="宋体" w:hAnsi="宋体" w:cs="宋体" w:hint="eastAsia"/>
                <w:kern w:val="0"/>
                <w:sz w:val="18"/>
                <w:szCs w:val="18"/>
                <w:lang/>
              </w:rPr>
              <w:t>1-3</w:t>
            </w:r>
            <w:r>
              <w:rPr>
                <w:rFonts w:ascii="宋体" w:hAnsi="宋体" w:cs="宋体" w:hint="eastAsia"/>
                <w:kern w:val="0"/>
                <w:sz w:val="18"/>
                <w:szCs w:val="18"/>
                <w:lang/>
              </w:rPr>
              <w:t>年国开行债券指数证券投资基金</w:t>
            </w:r>
            <w:r>
              <w:rPr>
                <w:rFonts w:ascii="宋体" w:hAnsi="宋体" w:cs="宋体" w:hint="eastAsia"/>
                <w:kern w:val="0"/>
                <w:sz w:val="18"/>
                <w:szCs w:val="18"/>
                <w:lang/>
              </w:rPr>
              <w:t>E</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30</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013593</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南方中债</w:t>
            </w:r>
            <w:r>
              <w:rPr>
                <w:rFonts w:ascii="宋体" w:hAnsi="宋体" w:cs="宋体" w:hint="eastAsia"/>
                <w:kern w:val="0"/>
                <w:sz w:val="18"/>
                <w:szCs w:val="18"/>
                <w:lang/>
              </w:rPr>
              <w:t>3-5</w:t>
            </w:r>
            <w:r>
              <w:rPr>
                <w:rFonts w:ascii="宋体" w:hAnsi="宋体" w:cs="宋体" w:hint="eastAsia"/>
                <w:kern w:val="0"/>
                <w:sz w:val="18"/>
                <w:szCs w:val="18"/>
                <w:lang/>
              </w:rPr>
              <w:t>年农发行债券指数证券投资基金</w:t>
            </w:r>
            <w:r>
              <w:rPr>
                <w:rFonts w:ascii="宋体" w:hAnsi="宋体" w:cs="宋体" w:hint="eastAsia"/>
                <w:kern w:val="0"/>
                <w:sz w:val="18"/>
                <w:szCs w:val="18"/>
                <w:lang/>
              </w:rPr>
              <w:t>E</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31</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160105</w:t>
            </w:r>
          </w:p>
        </w:tc>
        <w:tc>
          <w:tcPr>
            <w:tcW w:w="3259" w:type="pct"/>
            <w:vAlign w:val="center"/>
          </w:tcPr>
          <w:p w:rsidR="004F1830" w:rsidRDefault="006E0D02">
            <w:pPr>
              <w:widowControl/>
              <w:jc w:val="center"/>
              <w:rPr>
                <w:rFonts w:ascii="宋体" w:hAnsi="宋体" w:cs="宋体"/>
                <w:kern w:val="0"/>
                <w:sz w:val="18"/>
                <w:szCs w:val="18"/>
                <w:lang/>
              </w:rPr>
            </w:pPr>
            <w:bookmarkStart w:id="0" w:name="_GoBack"/>
            <w:bookmarkEnd w:id="0"/>
            <w:r>
              <w:rPr>
                <w:rFonts w:ascii="宋体" w:hAnsi="宋体" w:cs="宋体" w:hint="eastAsia"/>
                <w:kern w:val="0"/>
                <w:sz w:val="18"/>
                <w:szCs w:val="18"/>
                <w:lang/>
              </w:rPr>
              <w:t>南方积极配置混合型证券投资基金</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32</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202307</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南方收益宝货币市场基金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4F1830">
        <w:trPr>
          <w:trHeight w:val="345"/>
        </w:trPr>
        <w:tc>
          <w:tcPr>
            <w:tcW w:w="582" w:type="dxa"/>
            <w:noWrap/>
            <w:vAlign w:val="bottom"/>
          </w:tcPr>
          <w:p w:rsidR="004F1830" w:rsidRDefault="006E0D02">
            <w:pPr>
              <w:widowControl/>
              <w:jc w:val="center"/>
              <w:textAlignment w:val="bottom"/>
              <w:rPr>
                <w:rFonts w:ascii="宋体" w:hAnsi="宋体" w:cs="宋体"/>
                <w:kern w:val="0"/>
                <w:sz w:val="18"/>
                <w:szCs w:val="18"/>
                <w:lang/>
              </w:rPr>
            </w:pPr>
            <w:r>
              <w:rPr>
                <w:rFonts w:ascii="宋体" w:hAnsi="宋体" w:cs="宋体" w:hint="eastAsia"/>
                <w:color w:val="000000"/>
                <w:kern w:val="0"/>
                <w:sz w:val="18"/>
                <w:szCs w:val="18"/>
                <w:lang/>
              </w:rPr>
              <w:t>33</w:t>
            </w:r>
          </w:p>
        </w:tc>
        <w:tc>
          <w:tcPr>
            <w:tcW w:w="138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202308</w:t>
            </w:r>
          </w:p>
        </w:tc>
        <w:tc>
          <w:tcPr>
            <w:tcW w:w="3259" w:type="pct"/>
            <w:vAlign w:val="center"/>
          </w:tcPr>
          <w:p w:rsidR="004F1830" w:rsidRDefault="006E0D02">
            <w:pPr>
              <w:widowControl/>
              <w:jc w:val="center"/>
              <w:rPr>
                <w:rFonts w:ascii="宋体" w:hAnsi="宋体" w:cs="宋体"/>
                <w:kern w:val="0"/>
                <w:sz w:val="18"/>
                <w:szCs w:val="18"/>
                <w:lang/>
              </w:rPr>
            </w:pPr>
            <w:r>
              <w:rPr>
                <w:rFonts w:ascii="宋体" w:hAnsi="宋体" w:cs="宋体" w:hint="eastAsia"/>
                <w:kern w:val="0"/>
                <w:sz w:val="18"/>
                <w:szCs w:val="18"/>
                <w:lang/>
              </w:rPr>
              <w:t>南方收益宝货币市场基金</w:t>
            </w:r>
            <w:r>
              <w:rPr>
                <w:rFonts w:ascii="宋体" w:hAnsi="宋体" w:cs="宋体" w:hint="eastAsia"/>
                <w:kern w:val="0"/>
                <w:sz w:val="18"/>
                <w:szCs w:val="18"/>
                <w:lang/>
              </w:rPr>
              <w:t>B</w:t>
            </w:r>
            <w:r>
              <w:rPr>
                <w:rFonts w:ascii="宋体" w:hAnsi="宋体" w:cs="宋体" w:hint="eastAsia"/>
                <w:kern w:val="0"/>
                <w:sz w:val="18"/>
                <w:szCs w:val="18"/>
                <w:lang/>
              </w:rPr>
              <w:t>类</w:t>
            </w:r>
          </w:p>
        </w:tc>
      </w:tr>
    </w:tbl>
    <w:p w:rsidR="004F1830" w:rsidRDefault="006E0D02">
      <w:pPr>
        <w:widowControl/>
        <w:spacing w:line="405" w:lineRule="atLeast"/>
        <w:ind w:firstLineChars="200" w:firstLine="420"/>
        <w:jc w:val="left"/>
        <w:rPr>
          <w:rFonts w:ascii="宋体" w:hAnsi="宋体"/>
          <w:szCs w:val="21"/>
        </w:rPr>
      </w:pPr>
      <w:r>
        <w:rPr>
          <w:rFonts w:ascii="宋体" w:hAnsi="宋体" w:hint="eastAsia"/>
          <w:szCs w:val="21"/>
        </w:rPr>
        <w:t>从</w:t>
      </w:r>
      <w:r>
        <w:rPr>
          <w:rFonts w:ascii="宋体" w:hAnsi="宋体" w:hint="eastAsia"/>
          <w:szCs w:val="21"/>
        </w:rPr>
        <w:t>2022</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11</w:t>
      </w:r>
      <w:r>
        <w:rPr>
          <w:rFonts w:ascii="宋体" w:hAnsi="宋体" w:hint="eastAsia"/>
          <w:szCs w:val="21"/>
        </w:rPr>
        <w:t>日</w:t>
      </w:r>
      <w:r>
        <w:rPr>
          <w:rFonts w:ascii="宋体" w:hAnsi="宋体" w:hint="eastAsia"/>
          <w:szCs w:val="21"/>
        </w:rPr>
        <w:t>起，投资人可通过兴业银行“机构投资●交易平台”办理</w:t>
      </w:r>
      <w:r>
        <w:rPr>
          <w:rFonts w:hint="eastAsia"/>
          <w:szCs w:val="21"/>
        </w:rPr>
        <w:t>上述列表中对应</w:t>
      </w:r>
      <w:r>
        <w:rPr>
          <w:rFonts w:ascii="宋体" w:hAnsi="宋体" w:hint="eastAsia"/>
          <w:szCs w:val="21"/>
        </w:rPr>
        <w:t>基金的</w:t>
      </w:r>
      <w:r>
        <w:rPr>
          <w:rFonts w:ascii="宋体" w:hAnsi="宋体"/>
          <w:szCs w:val="21"/>
        </w:rPr>
        <w:t>开户、申购、赎回等业务</w:t>
      </w:r>
      <w:r>
        <w:rPr>
          <w:rFonts w:ascii="宋体" w:hAnsi="宋体" w:hint="eastAsia"/>
          <w:szCs w:val="21"/>
        </w:rPr>
        <w:t>。</w:t>
      </w:r>
    </w:p>
    <w:p w:rsidR="004F1830" w:rsidRDefault="006E0D02">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4F1830" w:rsidRDefault="006E0D02">
      <w:pPr>
        <w:numPr>
          <w:ilvl w:val="255"/>
          <w:numId w:val="0"/>
        </w:numPr>
        <w:spacing w:line="360" w:lineRule="auto"/>
        <w:ind w:left="357" w:firstLine="417"/>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hint="eastAsia"/>
          <w:szCs w:val="21"/>
        </w:rPr>
        <w:t>等相关法律文件及本公司发布的最新业务公告。</w:t>
      </w:r>
    </w:p>
    <w:p w:rsidR="004F1830" w:rsidRDefault="006E0D02">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4F1830" w:rsidRDefault="006E0D02">
      <w:pPr>
        <w:pStyle w:val="Ac"/>
        <w:spacing w:line="360" w:lineRule="auto"/>
        <w:ind w:firstLineChars="200" w:firstLine="420"/>
        <w:rPr>
          <w:rFonts w:ascii="Times New Roman" w:eastAsia="宋体" w:hAnsi="Times New Roman" w:cs="Times New Roman" w:hint="default"/>
          <w:color w:val="auto"/>
          <w:szCs w:val="20"/>
        </w:rPr>
      </w:pPr>
      <w:r>
        <w:rPr>
          <w:rFonts w:ascii="Times New Roman" w:eastAsia="宋体" w:hAnsi="Times New Roman" w:cs="Times New Roman" w:hint="default"/>
          <w:color w:val="auto"/>
          <w:szCs w:val="20"/>
        </w:rPr>
        <w:t>兴业银行客服电话：</w:t>
      </w:r>
      <w:r>
        <w:rPr>
          <w:rFonts w:ascii="Times New Roman" w:eastAsia="宋体" w:hAnsi="Times New Roman" w:cs="Times New Roman" w:hint="default"/>
          <w:color w:val="auto"/>
          <w:szCs w:val="20"/>
        </w:rPr>
        <w:t>95561</w:t>
      </w:r>
    </w:p>
    <w:p w:rsidR="004F1830" w:rsidRDefault="006E0D02">
      <w:pPr>
        <w:pStyle w:val="Ac"/>
        <w:spacing w:line="360" w:lineRule="auto"/>
        <w:ind w:firstLineChars="200" w:firstLine="420"/>
        <w:rPr>
          <w:rFonts w:ascii="Times New Roman" w:eastAsia="宋体" w:hAnsi="Times New Roman" w:cs="Times New Roman" w:hint="default"/>
        </w:rPr>
      </w:pPr>
      <w:r>
        <w:rPr>
          <w:rFonts w:ascii="Times New Roman" w:eastAsia="宋体" w:hAnsi="Times New Roman" w:cs="Times New Roman" w:hint="default"/>
        </w:rPr>
        <w:t>兴业银行网址：</w:t>
      </w:r>
      <w:r>
        <w:rPr>
          <w:rFonts w:ascii="Times New Roman" w:eastAsia="宋体" w:hAnsi="Times New Roman" w:cs="Times New Roman" w:hint="default"/>
        </w:rPr>
        <w:t>www.cib.com.cn</w:t>
      </w:r>
    </w:p>
    <w:p w:rsidR="004F1830" w:rsidRDefault="004F1830">
      <w:pPr>
        <w:pStyle w:val="Ac"/>
        <w:spacing w:line="360" w:lineRule="auto"/>
        <w:ind w:firstLineChars="200" w:firstLine="420"/>
        <w:rPr>
          <w:rFonts w:ascii="Times New Roman" w:eastAsia="宋体" w:hAnsi="Times New Roman" w:cs="Times New Roman" w:hint="default"/>
        </w:rPr>
      </w:pPr>
      <w:hyperlink r:id="rId11" w:tgtFrame="_blank" w:history="1">
        <w:r w:rsidR="006E0D02">
          <w:rPr>
            <w:rFonts w:ascii="Times New Roman" w:eastAsia="宋体" w:hAnsi="Times New Roman" w:cs="Times New Roman"/>
          </w:rPr>
          <w:t>南方基金</w:t>
        </w:r>
      </w:hyperlink>
      <w:r w:rsidR="006E0D02">
        <w:rPr>
          <w:rFonts w:ascii="Times New Roman" w:eastAsia="宋体" w:hAnsi="Times New Roman" w:cs="Times New Roman"/>
        </w:rPr>
        <w:t>客服电话：</w:t>
      </w:r>
      <w:r w:rsidR="006E0D02">
        <w:rPr>
          <w:rFonts w:ascii="Times New Roman" w:eastAsia="宋体" w:hAnsi="Times New Roman" w:cs="Times New Roman"/>
        </w:rPr>
        <w:t>400-889-8899</w:t>
      </w:r>
    </w:p>
    <w:p w:rsidR="004F1830" w:rsidRDefault="004F1830">
      <w:pPr>
        <w:pStyle w:val="Ac"/>
        <w:spacing w:line="360" w:lineRule="auto"/>
        <w:ind w:firstLineChars="200" w:firstLine="420"/>
        <w:rPr>
          <w:rFonts w:ascii="Times New Roman" w:eastAsia="宋体" w:hAnsi="Times New Roman" w:cs="Times New Roman" w:hint="default"/>
        </w:rPr>
      </w:pPr>
      <w:hyperlink r:id="rId12" w:tgtFrame="_blank" w:history="1">
        <w:r w:rsidR="006E0D02">
          <w:rPr>
            <w:rFonts w:ascii="Times New Roman" w:eastAsia="宋体" w:hAnsi="Times New Roman" w:cs="Times New Roman"/>
          </w:rPr>
          <w:t>南方基金</w:t>
        </w:r>
      </w:hyperlink>
      <w:r w:rsidR="006E0D02">
        <w:rPr>
          <w:rFonts w:ascii="Times New Roman" w:eastAsia="宋体" w:hAnsi="Times New Roman" w:cs="Times New Roman"/>
        </w:rPr>
        <w:t>网址：</w:t>
      </w:r>
      <w:hyperlink r:id="rId13" w:history="1">
        <w:r w:rsidR="006E0D02">
          <w:rPr>
            <w:rFonts w:ascii="Times New Roman" w:eastAsia="宋体" w:hAnsi="Times New Roman" w:cs="Times New Roman"/>
          </w:rPr>
          <w:t>www.nffund.com</w:t>
        </w:r>
      </w:hyperlink>
    </w:p>
    <w:p w:rsidR="004F1830" w:rsidRDefault="006E0D02">
      <w:pPr>
        <w:pStyle w:val="ab"/>
        <w:numPr>
          <w:ilvl w:val="0"/>
          <w:numId w:val="1"/>
        </w:numPr>
        <w:spacing w:line="360" w:lineRule="auto"/>
        <w:ind w:firstLineChars="0"/>
        <w:rPr>
          <w:color w:val="000000"/>
          <w:szCs w:val="21"/>
        </w:rPr>
      </w:pPr>
      <w:r>
        <w:rPr>
          <w:rFonts w:ascii="宋体" w:hAnsi="宋体" w:hint="eastAsia"/>
          <w:b/>
          <w:szCs w:val="21"/>
        </w:rPr>
        <w:t>风险提示：</w:t>
      </w:r>
    </w:p>
    <w:p w:rsidR="004F1830" w:rsidRDefault="006E0D02">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ascii="宋体" w:hAnsi="宋体"/>
          <w:szCs w:val="21"/>
        </w:rPr>
        <w:t>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4F1830" w:rsidRDefault="006E0D02">
      <w:pPr>
        <w:widowControl/>
        <w:spacing w:line="360" w:lineRule="auto"/>
        <w:ind w:firstLine="405"/>
        <w:jc w:val="left"/>
        <w:rPr>
          <w:rFonts w:ascii="宋体" w:hAnsi="宋体"/>
          <w:szCs w:val="21"/>
        </w:rPr>
      </w:pPr>
      <w:r>
        <w:rPr>
          <w:rFonts w:ascii="宋体" w:hAnsi="宋体" w:hint="eastAsia"/>
          <w:szCs w:val="21"/>
        </w:rPr>
        <w:t>2</w:t>
      </w:r>
      <w:r>
        <w:rPr>
          <w:rFonts w:ascii="宋体" w:hAnsi="宋体" w:hint="eastAsia"/>
          <w:szCs w:val="21"/>
        </w:rPr>
        <w:t>、投资人购买货币市场基金并不等于将资金作为存款存放在银行或存款类金融机构，基金管理人不保证基金一定盈利，也不保证最低收益。</w:t>
      </w:r>
    </w:p>
    <w:p w:rsidR="004F1830" w:rsidRDefault="004F1830">
      <w:pPr>
        <w:spacing w:line="360" w:lineRule="auto"/>
        <w:ind w:firstLineChars="200" w:firstLine="420"/>
        <w:rPr>
          <w:rFonts w:ascii="宋体" w:hAnsi="宋体"/>
          <w:szCs w:val="21"/>
        </w:rPr>
      </w:pPr>
    </w:p>
    <w:p w:rsidR="004F1830" w:rsidRDefault="006E0D02">
      <w:pPr>
        <w:spacing w:line="360" w:lineRule="auto"/>
        <w:ind w:firstLineChars="200" w:firstLine="420"/>
        <w:rPr>
          <w:rFonts w:ascii="宋体" w:hAnsi="宋体"/>
          <w:szCs w:val="21"/>
        </w:rPr>
      </w:pPr>
      <w:r>
        <w:rPr>
          <w:rFonts w:ascii="宋体" w:hAnsi="宋体" w:hint="eastAsia"/>
          <w:szCs w:val="21"/>
        </w:rPr>
        <w:t>特此公告</w:t>
      </w:r>
    </w:p>
    <w:p w:rsidR="004F1830" w:rsidRDefault="006E0D02">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4F1830" w:rsidRDefault="004F1830">
      <w:pPr>
        <w:spacing w:line="360" w:lineRule="auto"/>
        <w:ind w:firstLineChars="200" w:firstLine="420"/>
        <w:jc w:val="right"/>
        <w:rPr>
          <w:rFonts w:ascii="宋体" w:hAnsi="宋体"/>
          <w:szCs w:val="21"/>
        </w:rPr>
      </w:pPr>
    </w:p>
    <w:p w:rsidR="004F1830" w:rsidRDefault="004F1830">
      <w:pPr>
        <w:spacing w:line="360" w:lineRule="auto"/>
        <w:ind w:firstLineChars="200" w:firstLine="420"/>
        <w:jc w:val="right"/>
        <w:rPr>
          <w:rFonts w:ascii="宋体" w:hAnsi="宋体"/>
          <w:szCs w:val="21"/>
        </w:rPr>
      </w:pPr>
    </w:p>
    <w:p w:rsidR="004F1830" w:rsidRDefault="006E0D02">
      <w:pPr>
        <w:spacing w:line="360" w:lineRule="auto"/>
        <w:ind w:firstLineChars="200" w:firstLine="420"/>
        <w:jc w:val="right"/>
        <w:rPr>
          <w:rFonts w:ascii="宋体" w:hAnsi="宋体"/>
          <w:szCs w:val="21"/>
        </w:rPr>
      </w:pPr>
      <w:r>
        <w:rPr>
          <w:rFonts w:ascii="宋体" w:hAnsi="宋体" w:hint="eastAsia"/>
          <w:szCs w:val="21"/>
        </w:rPr>
        <w:t>南方基金管理股份有限公司</w:t>
      </w:r>
    </w:p>
    <w:p w:rsidR="004F1830" w:rsidRDefault="006E0D02">
      <w:pPr>
        <w:spacing w:line="360" w:lineRule="auto"/>
        <w:ind w:firstLineChars="200" w:firstLine="420"/>
        <w:jc w:val="right"/>
      </w:pPr>
      <w:r>
        <w:rPr>
          <w:rFonts w:ascii="宋体" w:hAnsi="宋体" w:hint="eastAsia"/>
          <w:szCs w:val="21"/>
        </w:rPr>
        <w:t>2022</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11</w:t>
      </w:r>
      <w:r>
        <w:rPr>
          <w:rFonts w:ascii="宋体" w:hAnsi="宋体" w:hint="eastAsia"/>
          <w:szCs w:val="21"/>
        </w:rPr>
        <w:t>日</w:t>
      </w:r>
    </w:p>
    <w:sectPr w:rsidR="004F1830" w:rsidSect="004F1830">
      <w:pgSz w:w="11906" w:h="16838"/>
      <w:pgMar w:top="156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kwZDk5YTM0YzY1Njk2MDk3ZmJkYTAxOThiMGJlYWYifQ=="/>
  </w:docVars>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125D"/>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490F"/>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2D7"/>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79F"/>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2C8B"/>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47D4"/>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1A9D"/>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B71F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1458"/>
    <w:rsid w:val="004F1830"/>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2ADB"/>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17FCD"/>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96E"/>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02"/>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85B"/>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1AC1"/>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791"/>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259B"/>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5BE9"/>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03"/>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A0B"/>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394C"/>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4528"/>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6EF3"/>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ADB02F5"/>
    <w:rsid w:val="18326E91"/>
    <w:rsid w:val="19560CFB"/>
    <w:rsid w:val="1D76522A"/>
    <w:rsid w:val="20392E29"/>
    <w:rsid w:val="239670DA"/>
    <w:rsid w:val="351A5A93"/>
    <w:rsid w:val="37FB02A2"/>
    <w:rsid w:val="3DC53711"/>
    <w:rsid w:val="3DE63595"/>
    <w:rsid w:val="42B9058E"/>
    <w:rsid w:val="4E9C1F78"/>
    <w:rsid w:val="4F9174BF"/>
    <w:rsid w:val="559D43FA"/>
    <w:rsid w:val="58207FE2"/>
    <w:rsid w:val="69523799"/>
    <w:rsid w:val="708942A6"/>
    <w:rsid w:val="71F03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HTML Typewriter"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F1830"/>
    <w:rPr>
      <w:rFonts w:ascii="宋体"/>
      <w:sz w:val="18"/>
      <w:szCs w:val="18"/>
    </w:rPr>
  </w:style>
  <w:style w:type="paragraph" w:styleId="a4">
    <w:name w:val="annotation text"/>
    <w:basedOn w:val="a"/>
    <w:link w:val="Char0"/>
    <w:uiPriority w:val="99"/>
    <w:semiHidden/>
    <w:unhideWhenUsed/>
    <w:qFormat/>
    <w:rsid w:val="004F1830"/>
    <w:pPr>
      <w:jc w:val="left"/>
    </w:pPr>
  </w:style>
  <w:style w:type="paragraph" w:styleId="a5">
    <w:name w:val="Balloon Text"/>
    <w:basedOn w:val="a"/>
    <w:link w:val="Char1"/>
    <w:uiPriority w:val="99"/>
    <w:semiHidden/>
    <w:unhideWhenUsed/>
    <w:qFormat/>
    <w:rsid w:val="004F1830"/>
    <w:rPr>
      <w:sz w:val="18"/>
      <w:szCs w:val="18"/>
    </w:rPr>
  </w:style>
  <w:style w:type="paragraph" w:styleId="a6">
    <w:name w:val="footer"/>
    <w:basedOn w:val="a"/>
    <w:link w:val="Char2"/>
    <w:uiPriority w:val="99"/>
    <w:unhideWhenUsed/>
    <w:qFormat/>
    <w:rsid w:val="004F1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F1830"/>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4F1830"/>
    <w:rPr>
      <w:b/>
      <w:bCs/>
    </w:rPr>
  </w:style>
  <w:style w:type="character" w:styleId="HTML">
    <w:name w:val="HTML Typewriter"/>
    <w:uiPriority w:val="99"/>
    <w:qFormat/>
    <w:rsid w:val="004F1830"/>
    <w:rPr>
      <w:rFonts w:ascii="宋体" w:eastAsia="宋体" w:hAnsi="宋体" w:cs="宋体"/>
      <w:sz w:val="24"/>
      <w:szCs w:val="24"/>
    </w:rPr>
  </w:style>
  <w:style w:type="character" w:styleId="a9">
    <w:name w:val="Hyperlink"/>
    <w:basedOn w:val="a0"/>
    <w:uiPriority w:val="99"/>
    <w:unhideWhenUsed/>
    <w:qFormat/>
    <w:rsid w:val="004F1830"/>
    <w:rPr>
      <w:color w:val="0000FF" w:themeColor="hyperlink"/>
      <w:u w:val="single"/>
    </w:rPr>
  </w:style>
  <w:style w:type="character" w:styleId="aa">
    <w:name w:val="annotation reference"/>
    <w:basedOn w:val="a0"/>
    <w:uiPriority w:val="99"/>
    <w:semiHidden/>
    <w:unhideWhenUsed/>
    <w:qFormat/>
    <w:rsid w:val="004F1830"/>
    <w:rPr>
      <w:sz w:val="21"/>
      <w:szCs w:val="21"/>
    </w:rPr>
  </w:style>
  <w:style w:type="character" w:customStyle="1" w:styleId="Char3">
    <w:name w:val="页眉 Char"/>
    <w:basedOn w:val="a0"/>
    <w:link w:val="a7"/>
    <w:uiPriority w:val="99"/>
    <w:qFormat/>
    <w:rsid w:val="004F1830"/>
    <w:rPr>
      <w:rFonts w:ascii="Times New Roman" w:eastAsia="宋体" w:hAnsi="Times New Roman" w:cs="Times New Roman"/>
      <w:sz w:val="18"/>
      <w:szCs w:val="18"/>
    </w:rPr>
  </w:style>
  <w:style w:type="character" w:customStyle="1" w:styleId="Char2">
    <w:name w:val="页脚 Char"/>
    <w:basedOn w:val="a0"/>
    <w:link w:val="a6"/>
    <w:uiPriority w:val="99"/>
    <w:qFormat/>
    <w:rsid w:val="004F1830"/>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4F1830"/>
    <w:rPr>
      <w:rFonts w:ascii="Times New Roman" w:eastAsia="宋体" w:hAnsi="Times New Roman" w:cs="Times New Roman"/>
      <w:sz w:val="18"/>
      <w:szCs w:val="18"/>
    </w:rPr>
  </w:style>
  <w:style w:type="paragraph" w:styleId="ab">
    <w:name w:val="List Paragraph"/>
    <w:basedOn w:val="a"/>
    <w:uiPriority w:val="34"/>
    <w:qFormat/>
    <w:rsid w:val="004F1830"/>
    <w:pPr>
      <w:ind w:firstLineChars="200" w:firstLine="420"/>
    </w:pPr>
  </w:style>
  <w:style w:type="character" w:customStyle="1" w:styleId="Char0">
    <w:name w:val="批注文字 Char"/>
    <w:basedOn w:val="a0"/>
    <w:link w:val="a4"/>
    <w:uiPriority w:val="99"/>
    <w:semiHidden/>
    <w:qFormat/>
    <w:rsid w:val="004F1830"/>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4F1830"/>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4F1830"/>
    <w:rPr>
      <w:rFonts w:ascii="宋体" w:eastAsia="宋体" w:hAnsi="Times New Roman" w:cs="Times New Roman"/>
      <w:sz w:val="18"/>
      <w:szCs w:val="18"/>
    </w:rPr>
  </w:style>
  <w:style w:type="paragraph" w:customStyle="1" w:styleId="Ac">
    <w:name w:val="正文 A"/>
    <w:qFormat/>
    <w:rsid w:val="004F1830"/>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4F1830"/>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yperlink" Target="http://www.nffund.com" TargetMode="External"/><Relationship Id="rId3" Type="http://schemas.openxmlformats.org/officeDocument/2006/relationships/styles" Target="styles.xml"/><Relationship Id="rId7" Type="http://schemas.openxmlformats.org/officeDocument/2006/relationships/hyperlink" Target="http://www.nffund.com" TargetMode="External"/><Relationship Id="rId12" Type="http://schemas.openxmlformats.org/officeDocument/2006/relationships/hyperlink" Target="http://www.nffu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ffund.com" TargetMode="External"/><Relationship Id="rId11" Type="http://schemas.openxmlformats.org/officeDocument/2006/relationships/hyperlink" Target="http://www.nffu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fund.com" TargetMode="External"/><Relationship Id="rId4" Type="http://schemas.openxmlformats.org/officeDocument/2006/relationships/settings" Target="settings.xml"/><Relationship Id="rId9" Type="http://schemas.openxmlformats.org/officeDocument/2006/relationships/hyperlink" Target="http://www.nf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B810-DC80-4233-AC9D-805D418C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4</DocSecurity>
  <Lines>14</Lines>
  <Paragraphs>4</Paragraphs>
  <ScaleCrop>false</ScaleCrop>
  <Company>CNSTOCK</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ZHONGM</cp:lastModifiedBy>
  <cp:revision>2</cp:revision>
  <cp:lastPrinted>2022-05-09T05:56:00Z</cp:lastPrinted>
  <dcterms:created xsi:type="dcterms:W3CDTF">2022-05-10T16:01:00Z</dcterms:created>
  <dcterms:modified xsi:type="dcterms:W3CDTF">2022-05-10T16:01:00Z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326C820A0DEB43049B1DB2C398730636</vt:lpwstr>
  </property>
</Properties>
</file>