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76" w:rsidRDefault="001E50FA">
      <w:pPr>
        <w:pStyle w:val="a4"/>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lang w:val="en-US"/>
        </w:rPr>
        <w:t>西部证券</w:t>
      </w:r>
      <w:r>
        <w:rPr>
          <w:rFonts w:hint="eastAsia"/>
          <w:b/>
          <w:bCs/>
          <w:spacing w:val="-8"/>
          <w:sz w:val="30"/>
          <w:szCs w:val="30"/>
        </w:rPr>
        <w:t>股份有限公司为公司旗下部分基金销售机构同时开通定投及转换业务的公告</w:t>
      </w:r>
    </w:p>
    <w:p w:rsidR="00447C76" w:rsidRDefault="001E50FA">
      <w:pPr>
        <w:pStyle w:val="a4"/>
        <w:spacing w:before="201" w:line="365" w:lineRule="auto"/>
        <w:ind w:left="221" w:right="238" w:firstLineChars="200" w:firstLine="480"/>
        <w:jc w:val="both"/>
        <w:rPr>
          <w:szCs w:val="22"/>
        </w:rPr>
      </w:pPr>
      <w:r>
        <w:rPr>
          <w:rFonts w:hint="eastAsia"/>
          <w:szCs w:val="22"/>
        </w:rPr>
        <w:t>东方基金管理股份有限公司（以下简称“本公司”）与</w:t>
      </w:r>
      <w:r>
        <w:rPr>
          <w:rFonts w:hint="eastAsia"/>
          <w:lang w:val="en-US"/>
        </w:rPr>
        <w:t>西部证券</w:t>
      </w:r>
      <w:r>
        <w:rPr>
          <w:rFonts w:hint="eastAsia"/>
        </w:rPr>
        <w:t>股份有限公司（以下简称“</w:t>
      </w:r>
      <w:r>
        <w:rPr>
          <w:rFonts w:hint="eastAsia"/>
          <w:lang w:val="en-US"/>
        </w:rPr>
        <w:t>西部</w:t>
      </w:r>
      <w:r>
        <w:rPr>
          <w:rFonts w:hint="eastAsia"/>
        </w:rPr>
        <w:t>证券”）协商一致</w:t>
      </w:r>
      <w:r>
        <w:rPr>
          <w:rFonts w:hint="eastAsia"/>
          <w:szCs w:val="22"/>
        </w:rPr>
        <w:t>，自</w:t>
      </w:r>
      <w:r>
        <w:rPr>
          <w:rFonts w:hint="eastAsia"/>
          <w:szCs w:val="22"/>
        </w:rPr>
        <w:t xml:space="preserve"> 2022</w:t>
      </w:r>
      <w:r>
        <w:rPr>
          <w:rFonts w:hint="eastAsia"/>
          <w:szCs w:val="22"/>
        </w:rPr>
        <w:t>年</w:t>
      </w:r>
      <w:r>
        <w:rPr>
          <w:rFonts w:hint="eastAsia"/>
          <w:szCs w:val="22"/>
        </w:rPr>
        <w:t>0</w:t>
      </w:r>
      <w:r>
        <w:rPr>
          <w:rFonts w:hint="eastAsia"/>
          <w:szCs w:val="22"/>
          <w:lang w:val="en-US"/>
        </w:rPr>
        <w:t>5</w:t>
      </w:r>
      <w:r>
        <w:rPr>
          <w:rFonts w:hint="eastAsia"/>
          <w:szCs w:val="22"/>
        </w:rPr>
        <w:t>月</w:t>
      </w:r>
      <w:r>
        <w:rPr>
          <w:rFonts w:hint="eastAsia"/>
          <w:szCs w:val="22"/>
          <w:lang w:val="en-US"/>
        </w:rPr>
        <w:t>11</w:t>
      </w:r>
      <w:r>
        <w:rPr>
          <w:rFonts w:hint="eastAsia"/>
          <w:szCs w:val="22"/>
        </w:rPr>
        <w:t>日起，新增</w:t>
      </w:r>
      <w:r>
        <w:rPr>
          <w:rFonts w:hint="eastAsia"/>
          <w:lang w:val="en-US"/>
        </w:rPr>
        <w:t>西部</w:t>
      </w:r>
      <w:r>
        <w:rPr>
          <w:rFonts w:hint="eastAsia"/>
        </w:rPr>
        <w:t>证券</w:t>
      </w:r>
      <w:r>
        <w:rPr>
          <w:rFonts w:hint="eastAsia"/>
          <w:szCs w:val="22"/>
        </w:rPr>
        <w:t>办理本公司旗下</w:t>
      </w:r>
      <w:r>
        <w:rPr>
          <w:rFonts w:hint="eastAsia"/>
          <w:szCs w:val="22"/>
          <w:lang w:val="en-US"/>
        </w:rPr>
        <w:t>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447C76" w:rsidRDefault="001E50FA">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4989" w:type="pct"/>
        <w:jc w:val="center"/>
        <w:tblLook w:val="04A0"/>
      </w:tblPr>
      <w:tblGrid>
        <w:gridCol w:w="670"/>
        <w:gridCol w:w="4685"/>
        <w:gridCol w:w="1197"/>
        <w:gridCol w:w="2744"/>
      </w:tblGrid>
      <w:tr w:rsidR="00447C76">
        <w:trPr>
          <w:trHeight w:val="5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b/>
                <w:bCs/>
                <w:kern w:val="2"/>
                <w:sz w:val="21"/>
                <w:szCs w:val="21"/>
                <w:lang w:val="en-US"/>
              </w:rPr>
            </w:pPr>
            <w:r>
              <w:rPr>
                <w:rFonts w:hint="eastAsia"/>
                <w:b/>
                <w:bCs/>
                <w:kern w:val="2"/>
                <w:sz w:val="21"/>
                <w:szCs w:val="21"/>
                <w:lang w:val="en-US"/>
              </w:rPr>
              <w:t>序号</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b/>
                <w:bCs/>
                <w:kern w:val="2"/>
                <w:sz w:val="21"/>
                <w:szCs w:val="21"/>
              </w:rPr>
            </w:pPr>
            <w:r>
              <w:rPr>
                <w:rFonts w:hint="eastAsia"/>
                <w:b/>
                <w:bCs/>
                <w:kern w:val="2"/>
                <w:sz w:val="21"/>
                <w:szCs w:val="21"/>
                <w:lang w:val="en-US"/>
              </w:rPr>
              <w:t>基金名称</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b/>
                <w:bCs/>
                <w:kern w:val="2"/>
                <w:sz w:val="21"/>
                <w:szCs w:val="21"/>
              </w:rPr>
            </w:pPr>
            <w:r>
              <w:rPr>
                <w:rFonts w:hint="eastAsia"/>
                <w:b/>
                <w:bCs/>
                <w:kern w:val="2"/>
                <w:sz w:val="21"/>
                <w:szCs w:val="21"/>
                <w:lang w:val="en-US"/>
              </w:rPr>
              <w:t>基金代码</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b/>
                <w:bCs/>
                <w:kern w:val="2"/>
                <w:sz w:val="21"/>
                <w:szCs w:val="21"/>
              </w:rPr>
            </w:pPr>
            <w:r>
              <w:rPr>
                <w:rFonts w:hint="eastAsia"/>
                <w:b/>
                <w:bCs/>
                <w:kern w:val="2"/>
                <w:sz w:val="21"/>
                <w:szCs w:val="21"/>
                <w:lang w:val="en-US"/>
              </w:rPr>
              <w:t>开户、申购、赎回、定期定额投资、转换业务</w:t>
            </w:r>
          </w:p>
        </w:tc>
      </w:tr>
      <w:tr w:rsidR="00447C76">
        <w:trPr>
          <w:trHeight w:val="28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bookmarkStart w:id="0" w:name="OLE_LINK1" w:colFirst="2" w:colLast="2"/>
            <w:r>
              <w:rPr>
                <w:rFonts w:hint="eastAsia"/>
                <w:kern w:val="2"/>
                <w:sz w:val="18"/>
                <w:szCs w:val="18"/>
                <w:lang w:val="en-US"/>
              </w:rPr>
              <w:t>1</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东方睿鑫热点挖掘灵活配置混合型证券投资基金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001120</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rPr>
            </w:pPr>
            <w:r>
              <w:rPr>
                <w:rFonts w:hint="eastAsia"/>
                <w:kern w:val="2"/>
                <w:sz w:val="18"/>
                <w:szCs w:val="18"/>
                <w:lang w:val="en-US"/>
              </w:rPr>
              <w:t>开通</w:t>
            </w:r>
          </w:p>
        </w:tc>
      </w:tr>
      <w:tr w:rsidR="00447C76">
        <w:trPr>
          <w:trHeight w:val="298"/>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东方睿鑫热点挖掘灵活配置混合型证券投资基金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001121</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28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3</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东方新思路灵活配置混合型证券投资基金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001384</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298"/>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东方新思路灵活配置混合型证券投资基金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001385</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268"/>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5</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东方主题精选混合型证券投资基金</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400032</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125"/>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6</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东方量化成长灵活配置混合型证劵投资基金</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005616</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288"/>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7</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东方岳灵活配置混合型证券投资基金</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002545</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8</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东方中国红利混合型证券投资基金</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009999</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9</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东方欣利混合型证券投资基金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009470</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10</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东方欣利混合型证券投资基金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009471</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11</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东方新策略灵活配置混合型证券投资基金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001318</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12</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东方新策略灵活配置混合型证券投资基金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002060</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13</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东方稳健回报债券型证券投资基金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400009</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14</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东方稳健回报债券型证券投资基金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009456</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15</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东方双债添利债券型证券投资基金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400027</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16</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东方双债添利债券型证券投资基金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400029</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28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17</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东方恒瑞短债债券型证券投资基金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010565</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18</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东方恒瑞短债债券型证券投资基金</w:t>
            </w:r>
            <w:r>
              <w:rPr>
                <w:rFonts w:hint="eastAsia"/>
                <w:kern w:val="2"/>
                <w:sz w:val="18"/>
                <w:szCs w:val="18"/>
                <w:lang w:val="en-US"/>
              </w:rPr>
              <w:t>B</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010566</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19</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东方恒瑞短债债券型证券投资基金</w:t>
            </w:r>
            <w:r>
              <w:rPr>
                <w:rFonts w:hint="eastAsia"/>
                <w:kern w:val="2"/>
                <w:sz w:val="18"/>
                <w:szCs w:val="18"/>
                <w:lang w:val="en-US"/>
              </w:rPr>
              <w:t>C</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010567</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20</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东方金账簿货币市场证券投资基金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400005</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21</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东方金账簿货币市场证券投资基金</w:t>
            </w:r>
            <w:r>
              <w:rPr>
                <w:rFonts w:hint="eastAsia"/>
                <w:kern w:val="2"/>
                <w:sz w:val="18"/>
                <w:szCs w:val="18"/>
                <w:lang w:val="en-US"/>
              </w:rPr>
              <w:t>B</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400006</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22</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东方金证通货币市场基金</w:t>
            </w:r>
            <w:r>
              <w:rPr>
                <w:rFonts w:hint="eastAsia"/>
                <w:kern w:val="2"/>
                <w:sz w:val="18"/>
                <w:szCs w:val="18"/>
                <w:lang w:val="en-US"/>
              </w:rPr>
              <w:t>A</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002243</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开通（不开通定投、不开通转换）</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23</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东方金证通货币市场基金</w:t>
            </w:r>
            <w:r>
              <w:rPr>
                <w:rFonts w:hint="eastAsia"/>
                <w:kern w:val="2"/>
                <w:sz w:val="18"/>
                <w:szCs w:val="18"/>
                <w:lang w:val="en-US"/>
              </w:rPr>
              <w:t>B</w:t>
            </w:r>
            <w:r>
              <w:rPr>
                <w:rFonts w:hint="eastAsia"/>
                <w:kern w:val="2"/>
                <w:sz w:val="18"/>
                <w:szCs w:val="18"/>
                <w:lang w:val="en-US"/>
              </w:rPr>
              <w:t>类</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009976</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tr w:rsidR="00447C76">
        <w:trPr>
          <w:trHeight w:val="323"/>
          <w:jc w:val="center"/>
        </w:trPr>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24</w:t>
            </w:r>
          </w:p>
        </w:tc>
        <w:tc>
          <w:tcPr>
            <w:tcW w:w="2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东方金元宝货币市场基金</w:t>
            </w:r>
          </w:p>
        </w:tc>
        <w:tc>
          <w:tcPr>
            <w:tcW w:w="6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001987</w:t>
            </w:r>
          </w:p>
        </w:tc>
        <w:tc>
          <w:tcPr>
            <w:tcW w:w="1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jc w:val="center"/>
              <w:textAlignment w:val="center"/>
              <w:rPr>
                <w:kern w:val="2"/>
                <w:sz w:val="18"/>
                <w:szCs w:val="18"/>
                <w:lang w:val="en-US"/>
              </w:rPr>
            </w:pPr>
            <w:r>
              <w:rPr>
                <w:rFonts w:hint="eastAsia"/>
                <w:kern w:val="2"/>
                <w:sz w:val="18"/>
                <w:szCs w:val="18"/>
                <w:lang w:val="en-US"/>
              </w:rPr>
              <w:t>开通</w:t>
            </w:r>
          </w:p>
        </w:tc>
      </w:tr>
      <w:bookmarkEnd w:id="0"/>
      <w:tr w:rsidR="00447C76">
        <w:trPr>
          <w:trHeight w:val="32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47C76" w:rsidRDefault="001E50FA">
            <w:pPr>
              <w:widowControl/>
              <w:textAlignment w:val="center"/>
              <w:rPr>
                <w:kern w:val="2"/>
                <w:sz w:val="18"/>
                <w:szCs w:val="18"/>
                <w:lang w:val="en-US"/>
              </w:rPr>
            </w:pPr>
            <w:r>
              <w:rPr>
                <w:rFonts w:hint="eastAsia"/>
                <w:kern w:val="2"/>
                <w:sz w:val="18"/>
                <w:szCs w:val="18"/>
                <w:lang w:val="en-US"/>
              </w:rPr>
              <w:t>备注：</w:t>
            </w:r>
          </w:p>
          <w:p w:rsidR="00447C76" w:rsidRDefault="001E50FA">
            <w:pPr>
              <w:widowControl/>
              <w:textAlignment w:val="center"/>
              <w:rPr>
                <w:kern w:val="2"/>
                <w:sz w:val="18"/>
                <w:szCs w:val="18"/>
                <w:lang w:val="en-US"/>
              </w:rPr>
            </w:pPr>
            <w:r>
              <w:rPr>
                <w:rFonts w:hint="eastAsia"/>
                <w:kern w:val="2"/>
                <w:sz w:val="18"/>
                <w:szCs w:val="18"/>
                <w:lang w:val="en-US"/>
              </w:rPr>
              <w:t>自</w:t>
            </w:r>
            <w:r>
              <w:rPr>
                <w:rFonts w:hint="eastAsia"/>
                <w:kern w:val="2"/>
                <w:sz w:val="18"/>
                <w:szCs w:val="18"/>
                <w:lang w:val="en-US"/>
              </w:rPr>
              <w:t>2022</w:t>
            </w:r>
            <w:r>
              <w:rPr>
                <w:rFonts w:hint="eastAsia"/>
                <w:kern w:val="2"/>
                <w:sz w:val="18"/>
                <w:szCs w:val="18"/>
                <w:lang w:val="en-US"/>
              </w:rPr>
              <w:t>年</w:t>
            </w:r>
            <w:r>
              <w:rPr>
                <w:rFonts w:hint="eastAsia"/>
                <w:kern w:val="2"/>
                <w:sz w:val="18"/>
                <w:szCs w:val="18"/>
                <w:lang w:val="en-US"/>
              </w:rPr>
              <w:t>2</w:t>
            </w:r>
            <w:r>
              <w:rPr>
                <w:rFonts w:hint="eastAsia"/>
                <w:kern w:val="2"/>
                <w:sz w:val="18"/>
                <w:szCs w:val="18"/>
                <w:lang w:val="en-US"/>
              </w:rPr>
              <w:t>月</w:t>
            </w:r>
            <w:r>
              <w:rPr>
                <w:rFonts w:hint="eastAsia"/>
                <w:kern w:val="2"/>
                <w:sz w:val="18"/>
                <w:szCs w:val="18"/>
                <w:lang w:val="en-US"/>
              </w:rPr>
              <w:t>16</w:t>
            </w:r>
            <w:r>
              <w:rPr>
                <w:rFonts w:hint="eastAsia"/>
                <w:kern w:val="2"/>
                <w:sz w:val="18"/>
                <w:szCs w:val="18"/>
                <w:lang w:val="en-US"/>
              </w:rPr>
              <w:t>日起，本基金管理人暂停接受对东方稳健回报债券型证券投资基金</w:t>
            </w:r>
            <w:r>
              <w:rPr>
                <w:rFonts w:hint="eastAsia"/>
                <w:kern w:val="2"/>
                <w:sz w:val="18"/>
                <w:szCs w:val="18"/>
                <w:lang w:val="en-US"/>
              </w:rPr>
              <w:t>A</w:t>
            </w:r>
            <w:r>
              <w:rPr>
                <w:rFonts w:hint="eastAsia"/>
                <w:kern w:val="2"/>
                <w:sz w:val="18"/>
                <w:szCs w:val="18"/>
                <w:lang w:val="en-US"/>
              </w:rPr>
              <w:t>类</w:t>
            </w:r>
            <w:r>
              <w:rPr>
                <w:rFonts w:hint="eastAsia"/>
                <w:kern w:val="2"/>
                <w:sz w:val="18"/>
                <w:szCs w:val="18"/>
                <w:lang w:val="en-US"/>
              </w:rPr>
              <w:t>/C</w:t>
            </w:r>
            <w:r>
              <w:rPr>
                <w:rFonts w:hint="eastAsia"/>
                <w:kern w:val="2"/>
                <w:sz w:val="18"/>
                <w:szCs w:val="18"/>
                <w:lang w:val="en-US"/>
              </w:rPr>
              <w:t>类的单笔金额</w:t>
            </w:r>
            <w:r>
              <w:rPr>
                <w:rFonts w:hint="eastAsia"/>
                <w:kern w:val="2"/>
                <w:sz w:val="18"/>
                <w:szCs w:val="18"/>
                <w:lang w:val="en-US"/>
              </w:rPr>
              <w:t>50</w:t>
            </w:r>
            <w:r>
              <w:rPr>
                <w:rFonts w:hint="eastAsia"/>
                <w:kern w:val="2"/>
                <w:sz w:val="18"/>
                <w:szCs w:val="18"/>
                <w:lang w:val="en-US"/>
              </w:rPr>
              <w:t>万以上（不含</w:t>
            </w:r>
            <w:r>
              <w:rPr>
                <w:rFonts w:hint="eastAsia"/>
                <w:kern w:val="2"/>
                <w:sz w:val="18"/>
                <w:szCs w:val="18"/>
                <w:lang w:val="en-US"/>
              </w:rPr>
              <w:t>50</w:t>
            </w:r>
            <w:r>
              <w:rPr>
                <w:rFonts w:hint="eastAsia"/>
                <w:kern w:val="2"/>
                <w:sz w:val="18"/>
                <w:szCs w:val="18"/>
                <w:lang w:val="en-US"/>
              </w:rPr>
              <w:t>万）申购（包括日常申购和定期定额申购）、转换转入申请，且单个基金账户单日累计申购（包括日常申购和</w:t>
            </w:r>
            <w:r>
              <w:rPr>
                <w:rFonts w:hint="eastAsia"/>
                <w:kern w:val="2"/>
                <w:sz w:val="18"/>
                <w:szCs w:val="18"/>
                <w:lang w:val="en-US"/>
              </w:rPr>
              <w:lastRenderedPageBreak/>
              <w:t>定期定额申购）及转换转入金额不得超过</w:t>
            </w:r>
            <w:r>
              <w:rPr>
                <w:rFonts w:hint="eastAsia"/>
                <w:kern w:val="2"/>
                <w:sz w:val="18"/>
                <w:szCs w:val="18"/>
                <w:lang w:val="en-US"/>
              </w:rPr>
              <w:t>50</w:t>
            </w:r>
            <w:r>
              <w:rPr>
                <w:rFonts w:hint="eastAsia"/>
                <w:kern w:val="2"/>
                <w:sz w:val="18"/>
                <w:szCs w:val="18"/>
                <w:lang w:val="en-US"/>
              </w:rPr>
              <w:t>万元（不含</w:t>
            </w:r>
            <w:r>
              <w:rPr>
                <w:rFonts w:hint="eastAsia"/>
                <w:kern w:val="2"/>
                <w:sz w:val="18"/>
                <w:szCs w:val="18"/>
                <w:lang w:val="en-US"/>
              </w:rPr>
              <w:t>50</w:t>
            </w:r>
            <w:r>
              <w:rPr>
                <w:rFonts w:hint="eastAsia"/>
                <w:kern w:val="2"/>
                <w:sz w:val="18"/>
                <w:szCs w:val="18"/>
                <w:lang w:val="en-US"/>
              </w:rPr>
              <w:t>万元）。对于超过限额的申请，本基金管理人有权拒绝，不予确认。</w:t>
            </w:r>
            <w:r>
              <w:rPr>
                <w:rFonts w:hint="eastAsia"/>
                <w:kern w:val="2"/>
                <w:sz w:val="18"/>
                <w:szCs w:val="18"/>
                <w:lang w:val="en-US"/>
              </w:rPr>
              <w:t xml:space="preserve"> </w:t>
            </w:r>
          </w:p>
          <w:p w:rsidR="00447C76" w:rsidRDefault="001E50FA">
            <w:pPr>
              <w:widowControl/>
              <w:textAlignment w:val="center"/>
              <w:rPr>
                <w:kern w:val="2"/>
                <w:sz w:val="18"/>
                <w:szCs w:val="18"/>
                <w:lang w:val="en-US"/>
              </w:rPr>
            </w:pPr>
            <w:r>
              <w:rPr>
                <w:rFonts w:hint="eastAsia"/>
                <w:kern w:val="2"/>
                <w:sz w:val="18"/>
                <w:szCs w:val="18"/>
                <w:lang w:val="en-US"/>
              </w:rPr>
              <w:t>自</w:t>
            </w:r>
            <w:r>
              <w:rPr>
                <w:rFonts w:hint="eastAsia"/>
                <w:kern w:val="2"/>
                <w:sz w:val="18"/>
                <w:szCs w:val="18"/>
                <w:lang w:val="en-US"/>
              </w:rPr>
              <w:t xml:space="preserve">2019 </w:t>
            </w:r>
            <w:r>
              <w:rPr>
                <w:rFonts w:hint="eastAsia"/>
                <w:kern w:val="2"/>
                <w:sz w:val="18"/>
                <w:szCs w:val="18"/>
                <w:lang w:val="en-US"/>
              </w:rPr>
              <w:t>年</w:t>
            </w:r>
            <w:r>
              <w:rPr>
                <w:rFonts w:hint="eastAsia"/>
                <w:kern w:val="2"/>
                <w:sz w:val="18"/>
                <w:szCs w:val="18"/>
                <w:lang w:val="en-US"/>
              </w:rPr>
              <w:t xml:space="preserve">12 </w:t>
            </w:r>
            <w:r>
              <w:rPr>
                <w:rFonts w:hint="eastAsia"/>
                <w:kern w:val="2"/>
                <w:sz w:val="18"/>
                <w:szCs w:val="18"/>
                <w:lang w:val="en-US"/>
              </w:rPr>
              <w:t>月</w:t>
            </w:r>
            <w:r>
              <w:rPr>
                <w:rFonts w:hint="eastAsia"/>
                <w:kern w:val="2"/>
                <w:sz w:val="18"/>
                <w:szCs w:val="18"/>
                <w:lang w:val="en-US"/>
              </w:rPr>
              <w:t xml:space="preserve">23 </w:t>
            </w:r>
            <w:r>
              <w:rPr>
                <w:rFonts w:hint="eastAsia"/>
                <w:kern w:val="2"/>
                <w:sz w:val="18"/>
                <w:szCs w:val="18"/>
                <w:lang w:val="en-US"/>
              </w:rPr>
              <w:t>日起，本基金管理人暂停接受对东方金账簿货币市场证券投资基金</w:t>
            </w:r>
            <w:r>
              <w:rPr>
                <w:rFonts w:hint="eastAsia"/>
                <w:kern w:val="2"/>
                <w:sz w:val="18"/>
                <w:szCs w:val="18"/>
                <w:lang w:val="en-US"/>
              </w:rPr>
              <w:t>A</w:t>
            </w:r>
            <w:r>
              <w:rPr>
                <w:rFonts w:hint="eastAsia"/>
                <w:kern w:val="2"/>
                <w:sz w:val="18"/>
                <w:szCs w:val="18"/>
                <w:lang w:val="en-US"/>
              </w:rPr>
              <w:t>类</w:t>
            </w:r>
            <w:r>
              <w:rPr>
                <w:rFonts w:hint="eastAsia"/>
                <w:kern w:val="2"/>
                <w:sz w:val="18"/>
                <w:szCs w:val="18"/>
                <w:lang w:val="en-US"/>
              </w:rPr>
              <w:t>/B</w:t>
            </w:r>
            <w:r>
              <w:rPr>
                <w:rFonts w:hint="eastAsia"/>
                <w:kern w:val="2"/>
                <w:sz w:val="18"/>
                <w:szCs w:val="18"/>
                <w:lang w:val="en-US"/>
              </w:rPr>
              <w:t>类的单笔金额</w:t>
            </w:r>
            <w:r>
              <w:rPr>
                <w:rFonts w:hint="eastAsia"/>
                <w:kern w:val="2"/>
                <w:sz w:val="18"/>
                <w:szCs w:val="18"/>
                <w:lang w:val="en-US"/>
              </w:rPr>
              <w:t xml:space="preserve">1 </w:t>
            </w:r>
            <w:r>
              <w:rPr>
                <w:rFonts w:hint="eastAsia"/>
                <w:kern w:val="2"/>
                <w:sz w:val="18"/>
                <w:szCs w:val="18"/>
                <w:lang w:val="en-US"/>
              </w:rPr>
              <w:t>亿以上（含</w:t>
            </w:r>
            <w:r>
              <w:rPr>
                <w:rFonts w:hint="eastAsia"/>
                <w:kern w:val="2"/>
                <w:sz w:val="18"/>
                <w:szCs w:val="18"/>
                <w:lang w:val="en-US"/>
              </w:rPr>
              <w:t xml:space="preserve">1 </w:t>
            </w:r>
            <w:r>
              <w:rPr>
                <w:rFonts w:hint="eastAsia"/>
                <w:kern w:val="2"/>
                <w:sz w:val="18"/>
                <w:szCs w:val="18"/>
                <w:lang w:val="en-US"/>
              </w:rPr>
              <w:t>亿）申购（包括日常申购和定期定额申购）、转换转入申请，且</w:t>
            </w:r>
            <w:r>
              <w:rPr>
                <w:rFonts w:hint="eastAsia"/>
                <w:kern w:val="2"/>
                <w:sz w:val="18"/>
                <w:szCs w:val="18"/>
                <w:lang w:val="en-US"/>
              </w:rPr>
              <w:t>单个基金账户单日累计申购（包括日常申购和定期定额申购）及转换转入金额不得超过</w:t>
            </w:r>
            <w:r>
              <w:rPr>
                <w:rFonts w:hint="eastAsia"/>
                <w:kern w:val="2"/>
                <w:sz w:val="18"/>
                <w:szCs w:val="18"/>
                <w:lang w:val="en-US"/>
              </w:rPr>
              <w:t xml:space="preserve">1 </w:t>
            </w:r>
            <w:r>
              <w:rPr>
                <w:rFonts w:hint="eastAsia"/>
                <w:kern w:val="2"/>
                <w:sz w:val="18"/>
                <w:szCs w:val="18"/>
                <w:lang w:val="en-US"/>
              </w:rPr>
              <w:t>亿（含</w:t>
            </w:r>
            <w:r>
              <w:rPr>
                <w:rFonts w:hint="eastAsia"/>
                <w:kern w:val="2"/>
                <w:sz w:val="18"/>
                <w:szCs w:val="18"/>
                <w:lang w:val="en-US"/>
              </w:rPr>
              <w:t xml:space="preserve">1 </w:t>
            </w:r>
            <w:r>
              <w:rPr>
                <w:rFonts w:hint="eastAsia"/>
                <w:kern w:val="2"/>
                <w:sz w:val="18"/>
                <w:szCs w:val="18"/>
                <w:lang w:val="en-US"/>
              </w:rPr>
              <w:t>亿元）。对于超过限额的申请，本基金管理人有权拒绝，不予确认。</w:t>
            </w:r>
          </w:p>
          <w:p w:rsidR="00447C76" w:rsidRDefault="001E50FA">
            <w:pPr>
              <w:widowControl/>
              <w:textAlignment w:val="center"/>
              <w:rPr>
                <w:kern w:val="2"/>
                <w:sz w:val="18"/>
                <w:szCs w:val="18"/>
                <w:lang w:val="en-US"/>
              </w:rPr>
            </w:pPr>
            <w:r>
              <w:rPr>
                <w:rFonts w:hint="eastAsia"/>
                <w:kern w:val="2"/>
                <w:sz w:val="18"/>
                <w:szCs w:val="18"/>
                <w:lang w:val="en-US"/>
              </w:rPr>
              <w:t>自</w:t>
            </w:r>
            <w:r>
              <w:rPr>
                <w:rFonts w:hint="eastAsia"/>
                <w:kern w:val="2"/>
                <w:sz w:val="18"/>
                <w:szCs w:val="18"/>
                <w:lang w:val="en-US"/>
              </w:rPr>
              <w:t>2019</w:t>
            </w:r>
            <w:r>
              <w:rPr>
                <w:rFonts w:hint="eastAsia"/>
                <w:kern w:val="2"/>
                <w:sz w:val="18"/>
                <w:szCs w:val="18"/>
                <w:lang w:val="en-US"/>
              </w:rPr>
              <w:t>年</w:t>
            </w:r>
            <w:r>
              <w:rPr>
                <w:rFonts w:hint="eastAsia"/>
                <w:kern w:val="2"/>
                <w:sz w:val="18"/>
                <w:szCs w:val="18"/>
                <w:lang w:val="en-US"/>
              </w:rPr>
              <w:t>2</w:t>
            </w:r>
            <w:r>
              <w:rPr>
                <w:rFonts w:hint="eastAsia"/>
                <w:kern w:val="2"/>
                <w:sz w:val="18"/>
                <w:szCs w:val="18"/>
                <w:lang w:val="en-US"/>
              </w:rPr>
              <w:t>月</w:t>
            </w:r>
            <w:r>
              <w:rPr>
                <w:rFonts w:hint="eastAsia"/>
                <w:kern w:val="2"/>
                <w:sz w:val="18"/>
                <w:szCs w:val="18"/>
                <w:lang w:val="en-US"/>
              </w:rPr>
              <w:t>25</w:t>
            </w:r>
            <w:r>
              <w:rPr>
                <w:rFonts w:hint="eastAsia"/>
                <w:kern w:val="2"/>
                <w:sz w:val="18"/>
                <w:szCs w:val="18"/>
                <w:lang w:val="en-US"/>
              </w:rPr>
              <w:t>日起，本基金管理人接受通过代销机构办理东方金证通货币市场基金</w:t>
            </w:r>
            <w:r>
              <w:rPr>
                <w:rFonts w:hint="eastAsia"/>
                <w:kern w:val="2"/>
                <w:sz w:val="18"/>
                <w:szCs w:val="18"/>
                <w:lang w:val="en-US"/>
              </w:rPr>
              <w:t>A</w:t>
            </w:r>
            <w:r>
              <w:rPr>
                <w:rFonts w:hint="eastAsia"/>
                <w:kern w:val="2"/>
                <w:sz w:val="18"/>
                <w:szCs w:val="18"/>
                <w:lang w:val="en-US"/>
              </w:rPr>
              <w:t>类单笔金额</w:t>
            </w:r>
            <w:r>
              <w:rPr>
                <w:rFonts w:hint="eastAsia"/>
                <w:kern w:val="2"/>
                <w:sz w:val="18"/>
                <w:szCs w:val="18"/>
                <w:lang w:val="en-US"/>
              </w:rPr>
              <w:t>5000</w:t>
            </w:r>
            <w:r>
              <w:rPr>
                <w:rFonts w:hint="eastAsia"/>
                <w:kern w:val="2"/>
                <w:sz w:val="18"/>
                <w:szCs w:val="18"/>
                <w:lang w:val="en-US"/>
              </w:rPr>
              <w:t>万元以下（含</w:t>
            </w:r>
            <w:r>
              <w:rPr>
                <w:rFonts w:hint="eastAsia"/>
                <w:kern w:val="2"/>
                <w:sz w:val="18"/>
                <w:szCs w:val="18"/>
                <w:lang w:val="en-US"/>
              </w:rPr>
              <w:t>5000</w:t>
            </w:r>
            <w:r>
              <w:rPr>
                <w:rFonts w:hint="eastAsia"/>
                <w:kern w:val="2"/>
                <w:sz w:val="18"/>
                <w:szCs w:val="18"/>
                <w:lang w:val="en-US"/>
              </w:rPr>
              <w:t>万元）的申购业务</w:t>
            </w:r>
            <w:r>
              <w:rPr>
                <w:rFonts w:hint="eastAsia"/>
                <w:kern w:val="2"/>
                <w:sz w:val="18"/>
                <w:szCs w:val="18"/>
                <w:lang w:val="en-US"/>
              </w:rPr>
              <w:t>(</w:t>
            </w:r>
            <w:r>
              <w:rPr>
                <w:rFonts w:hint="eastAsia"/>
                <w:kern w:val="2"/>
                <w:sz w:val="18"/>
                <w:szCs w:val="18"/>
                <w:lang w:val="en-US"/>
              </w:rPr>
              <w:t>本基金未开通转换及定期定额投资业务</w:t>
            </w:r>
            <w:r>
              <w:rPr>
                <w:rFonts w:hint="eastAsia"/>
                <w:kern w:val="2"/>
                <w:sz w:val="18"/>
                <w:szCs w:val="18"/>
                <w:lang w:val="en-US"/>
              </w:rPr>
              <w:t>)</w:t>
            </w:r>
            <w:r>
              <w:rPr>
                <w:rFonts w:hint="eastAsia"/>
                <w:kern w:val="2"/>
                <w:sz w:val="18"/>
                <w:szCs w:val="18"/>
                <w:lang w:val="en-US"/>
              </w:rPr>
              <w:t>，且对单个基金账户单日累计申购金额</w:t>
            </w:r>
            <w:r>
              <w:rPr>
                <w:rFonts w:hint="eastAsia"/>
                <w:kern w:val="2"/>
                <w:sz w:val="18"/>
                <w:szCs w:val="18"/>
                <w:lang w:val="en-US"/>
              </w:rPr>
              <w:t>5000</w:t>
            </w:r>
            <w:r>
              <w:rPr>
                <w:rFonts w:hint="eastAsia"/>
                <w:kern w:val="2"/>
                <w:sz w:val="18"/>
                <w:szCs w:val="18"/>
                <w:lang w:val="en-US"/>
              </w:rPr>
              <w:t>万元以下（含</w:t>
            </w:r>
            <w:r>
              <w:rPr>
                <w:rFonts w:hint="eastAsia"/>
                <w:kern w:val="2"/>
                <w:sz w:val="18"/>
                <w:szCs w:val="18"/>
                <w:lang w:val="en-US"/>
              </w:rPr>
              <w:t>5000</w:t>
            </w:r>
            <w:r>
              <w:rPr>
                <w:rFonts w:hint="eastAsia"/>
                <w:kern w:val="2"/>
                <w:sz w:val="18"/>
                <w:szCs w:val="18"/>
                <w:lang w:val="en-US"/>
              </w:rPr>
              <w:t>万元）的申请予以确认；单笔金额</w:t>
            </w:r>
            <w:r>
              <w:rPr>
                <w:rFonts w:hint="eastAsia"/>
                <w:kern w:val="2"/>
                <w:sz w:val="18"/>
                <w:szCs w:val="18"/>
                <w:lang w:val="en-US"/>
              </w:rPr>
              <w:t>5000</w:t>
            </w:r>
            <w:r>
              <w:rPr>
                <w:rFonts w:hint="eastAsia"/>
                <w:kern w:val="2"/>
                <w:sz w:val="18"/>
                <w:szCs w:val="18"/>
                <w:lang w:val="en-US"/>
              </w:rPr>
              <w:t>万以上的申购申请，本基金管理人有权不予确认，且单个基金账户单日累计申购金额超过</w:t>
            </w:r>
            <w:r>
              <w:rPr>
                <w:rFonts w:hint="eastAsia"/>
                <w:kern w:val="2"/>
                <w:sz w:val="18"/>
                <w:szCs w:val="18"/>
                <w:lang w:val="en-US"/>
              </w:rPr>
              <w:t>5000</w:t>
            </w:r>
            <w:r>
              <w:rPr>
                <w:rFonts w:hint="eastAsia"/>
                <w:kern w:val="2"/>
                <w:sz w:val="18"/>
                <w:szCs w:val="18"/>
                <w:lang w:val="en-US"/>
              </w:rPr>
              <w:t>万元（不含</w:t>
            </w:r>
            <w:r>
              <w:rPr>
                <w:rFonts w:hint="eastAsia"/>
                <w:kern w:val="2"/>
                <w:sz w:val="18"/>
                <w:szCs w:val="18"/>
                <w:lang w:val="en-US"/>
              </w:rPr>
              <w:t>5000</w:t>
            </w:r>
            <w:r>
              <w:rPr>
                <w:rFonts w:hint="eastAsia"/>
                <w:kern w:val="2"/>
                <w:sz w:val="18"/>
                <w:szCs w:val="18"/>
                <w:lang w:val="en-US"/>
              </w:rPr>
              <w:t>万元）的申请，对于超过限额的申请，本基金管理人有权拒绝，不予确认。</w:t>
            </w:r>
            <w:r>
              <w:rPr>
                <w:rFonts w:hint="eastAsia"/>
                <w:kern w:val="2"/>
                <w:sz w:val="18"/>
                <w:szCs w:val="18"/>
                <w:lang w:val="en-US"/>
              </w:rPr>
              <w:t xml:space="preserve"> </w:t>
            </w:r>
          </w:p>
          <w:p w:rsidR="00447C76" w:rsidRDefault="001E50FA">
            <w:pPr>
              <w:widowControl/>
              <w:textAlignment w:val="center"/>
              <w:rPr>
                <w:rStyle w:val="aa"/>
              </w:rPr>
            </w:pPr>
            <w:r>
              <w:rPr>
                <w:rFonts w:hint="eastAsia"/>
                <w:kern w:val="2"/>
                <w:sz w:val="18"/>
                <w:szCs w:val="18"/>
                <w:lang w:val="en-US"/>
              </w:rPr>
              <w:t>自</w:t>
            </w:r>
            <w:r>
              <w:rPr>
                <w:rFonts w:hint="eastAsia"/>
                <w:kern w:val="2"/>
                <w:sz w:val="18"/>
                <w:szCs w:val="18"/>
                <w:lang w:val="en-US"/>
              </w:rPr>
              <w:t>2019</w:t>
            </w:r>
            <w:r>
              <w:rPr>
                <w:rFonts w:hint="eastAsia"/>
                <w:kern w:val="2"/>
                <w:sz w:val="18"/>
                <w:szCs w:val="18"/>
                <w:lang w:val="en-US"/>
              </w:rPr>
              <w:t>年</w:t>
            </w:r>
            <w:r>
              <w:rPr>
                <w:rFonts w:hint="eastAsia"/>
                <w:kern w:val="2"/>
                <w:sz w:val="18"/>
                <w:szCs w:val="18"/>
                <w:lang w:val="en-US"/>
              </w:rPr>
              <w:t>3</w:t>
            </w:r>
            <w:r>
              <w:rPr>
                <w:rFonts w:hint="eastAsia"/>
                <w:kern w:val="2"/>
                <w:sz w:val="18"/>
                <w:szCs w:val="18"/>
                <w:lang w:val="en-US"/>
              </w:rPr>
              <w:t>月</w:t>
            </w:r>
            <w:r>
              <w:rPr>
                <w:rFonts w:hint="eastAsia"/>
                <w:kern w:val="2"/>
                <w:sz w:val="18"/>
                <w:szCs w:val="18"/>
                <w:lang w:val="en-US"/>
              </w:rPr>
              <w:t>21</w:t>
            </w:r>
            <w:r>
              <w:rPr>
                <w:rFonts w:hint="eastAsia"/>
                <w:kern w:val="2"/>
                <w:sz w:val="18"/>
                <w:szCs w:val="18"/>
                <w:lang w:val="en-US"/>
              </w:rPr>
              <w:t>日起，本基金管理人接受通过所有销售渠道办理东方金元宝货币市场基金单笔金额</w:t>
            </w:r>
            <w:r>
              <w:rPr>
                <w:rFonts w:hint="eastAsia"/>
                <w:kern w:val="2"/>
                <w:sz w:val="18"/>
                <w:szCs w:val="18"/>
                <w:lang w:val="en-US"/>
              </w:rPr>
              <w:t>6000</w:t>
            </w:r>
            <w:r>
              <w:rPr>
                <w:rFonts w:hint="eastAsia"/>
                <w:kern w:val="2"/>
                <w:sz w:val="18"/>
                <w:szCs w:val="18"/>
                <w:lang w:val="en-US"/>
              </w:rPr>
              <w:t>万元以下（含</w:t>
            </w:r>
            <w:r>
              <w:rPr>
                <w:rFonts w:hint="eastAsia"/>
                <w:kern w:val="2"/>
                <w:sz w:val="18"/>
                <w:szCs w:val="18"/>
                <w:lang w:val="en-US"/>
              </w:rPr>
              <w:t>6000</w:t>
            </w:r>
            <w:r>
              <w:rPr>
                <w:rFonts w:hint="eastAsia"/>
                <w:kern w:val="2"/>
                <w:sz w:val="18"/>
                <w:szCs w:val="18"/>
                <w:lang w:val="en-US"/>
              </w:rPr>
              <w:t>万元）的申购（包含日常申购和定期定额申购）、转换转入业务，且对单个基金账户单日累计申购金额</w:t>
            </w:r>
            <w:r>
              <w:rPr>
                <w:rFonts w:hint="eastAsia"/>
                <w:kern w:val="2"/>
                <w:sz w:val="18"/>
                <w:szCs w:val="18"/>
                <w:lang w:val="en-US"/>
              </w:rPr>
              <w:t>6000</w:t>
            </w:r>
            <w:r>
              <w:rPr>
                <w:rFonts w:hint="eastAsia"/>
                <w:kern w:val="2"/>
                <w:sz w:val="18"/>
                <w:szCs w:val="18"/>
                <w:lang w:val="en-US"/>
              </w:rPr>
              <w:t>万元以下（含</w:t>
            </w:r>
            <w:r>
              <w:rPr>
                <w:rFonts w:hint="eastAsia"/>
                <w:kern w:val="2"/>
                <w:sz w:val="18"/>
                <w:szCs w:val="18"/>
                <w:lang w:val="en-US"/>
              </w:rPr>
              <w:t>6000</w:t>
            </w:r>
            <w:r>
              <w:rPr>
                <w:rFonts w:hint="eastAsia"/>
                <w:kern w:val="2"/>
                <w:sz w:val="18"/>
                <w:szCs w:val="18"/>
                <w:lang w:val="en-US"/>
              </w:rPr>
              <w:t>万元）的申请予以确认；单笔金额</w:t>
            </w:r>
            <w:r>
              <w:rPr>
                <w:rFonts w:hint="eastAsia"/>
                <w:kern w:val="2"/>
                <w:sz w:val="18"/>
                <w:szCs w:val="18"/>
                <w:lang w:val="en-US"/>
              </w:rPr>
              <w:t>6,000</w:t>
            </w:r>
            <w:r>
              <w:rPr>
                <w:rFonts w:hint="eastAsia"/>
                <w:kern w:val="2"/>
                <w:sz w:val="18"/>
                <w:szCs w:val="18"/>
                <w:lang w:val="en-US"/>
              </w:rPr>
              <w:t>万元以上（不含</w:t>
            </w:r>
            <w:r>
              <w:rPr>
                <w:rFonts w:hint="eastAsia"/>
                <w:kern w:val="2"/>
                <w:sz w:val="18"/>
                <w:szCs w:val="18"/>
                <w:lang w:val="en-US"/>
              </w:rPr>
              <w:t>6000</w:t>
            </w:r>
            <w:r>
              <w:rPr>
                <w:rFonts w:hint="eastAsia"/>
                <w:kern w:val="2"/>
                <w:sz w:val="18"/>
                <w:szCs w:val="18"/>
                <w:lang w:val="en-US"/>
              </w:rPr>
              <w:t>万元）的申购（包括日常申购和定期定额申购）、转换转入申请，本基金管理人有权不予确认，且单个基金账户单日累计申购（包括日常申购</w:t>
            </w:r>
            <w:r>
              <w:rPr>
                <w:rFonts w:hint="eastAsia"/>
                <w:kern w:val="2"/>
                <w:sz w:val="18"/>
                <w:szCs w:val="18"/>
                <w:lang w:val="en-US"/>
              </w:rPr>
              <w:t>和定期定额申购）及转换转入金额超过</w:t>
            </w:r>
            <w:r>
              <w:rPr>
                <w:rFonts w:hint="eastAsia"/>
                <w:kern w:val="2"/>
                <w:sz w:val="18"/>
                <w:szCs w:val="18"/>
                <w:lang w:val="en-US"/>
              </w:rPr>
              <w:t>6</w:t>
            </w:r>
            <w:bookmarkStart w:id="1" w:name="_GoBack"/>
            <w:bookmarkEnd w:id="1"/>
            <w:r>
              <w:rPr>
                <w:rFonts w:hint="eastAsia"/>
                <w:kern w:val="2"/>
                <w:sz w:val="18"/>
                <w:szCs w:val="18"/>
                <w:lang w:val="en-US"/>
              </w:rPr>
              <w:t>000</w:t>
            </w:r>
            <w:r>
              <w:rPr>
                <w:rFonts w:hint="eastAsia"/>
                <w:kern w:val="2"/>
                <w:sz w:val="18"/>
                <w:szCs w:val="18"/>
                <w:lang w:val="en-US"/>
              </w:rPr>
              <w:t>万元（不含</w:t>
            </w:r>
            <w:r>
              <w:rPr>
                <w:rFonts w:hint="eastAsia"/>
                <w:kern w:val="2"/>
                <w:sz w:val="18"/>
                <w:szCs w:val="18"/>
                <w:lang w:val="en-US"/>
              </w:rPr>
              <w:t>6000</w:t>
            </w:r>
            <w:r>
              <w:rPr>
                <w:rFonts w:hint="eastAsia"/>
                <w:kern w:val="2"/>
                <w:sz w:val="18"/>
                <w:szCs w:val="18"/>
                <w:lang w:val="en-US"/>
              </w:rPr>
              <w:t>万元）的申请，对于超过限额的申请，本基金管理人有权拒绝，不予确认。</w:t>
            </w:r>
            <w:r>
              <w:rPr>
                <w:rFonts w:hint="eastAsia"/>
                <w:kern w:val="2"/>
                <w:sz w:val="18"/>
                <w:szCs w:val="18"/>
                <w:lang w:val="en-US"/>
              </w:rPr>
              <w:t xml:space="preserve"> </w:t>
            </w:r>
          </w:p>
          <w:p w:rsidR="00447C76" w:rsidRDefault="00447C76">
            <w:pPr>
              <w:widowControl/>
              <w:textAlignment w:val="center"/>
              <w:rPr>
                <w:rStyle w:val="aa"/>
              </w:rPr>
            </w:pPr>
          </w:p>
          <w:p w:rsidR="00447C76" w:rsidRDefault="001E50FA">
            <w:pPr>
              <w:widowControl/>
              <w:textAlignment w:val="center"/>
              <w:rPr>
                <w:rStyle w:val="aa"/>
                <w:lang w:val="en-US"/>
              </w:rPr>
            </w:pPr>
            <w:r>
              <w:rPr>
                <w:rStyle w:val="aa"/>
                <w:lang w:val="en-US"/>
              </w:rPr>
              <w:t>后续产品上线及业务开通事宜本公司将另行公告。</w:t>
            </w:r>
          </w:p>
        </w:tc>
      </w:tr>
    </w:tbl>
    <w:p w:rsidR="00447C76" w:rsidRDefault="00447C76">
      <w:pPr>
        <w:spacing w:before="82"/>
        <w:rPr>
          <w:b/>
          <w:w w:val="95"/>
          <w:sz w:val="24"/>
          <w:lang w:val="en-US"/>
        </w:rPr>
      </w:pPr>
    </w:p>
    <w:p w:rsidR="00447C76" w:rsidRDefault="001E50FA">
      <w:pPr>
        <w:pStyle w:val="2"/>
      </w:pPr>
      <w:r>
        <w:rPr>
          <w:rFonts w:hint="eastAsia"/>
          <w:lang w:val="en-US"/>
        </w:rPr>
        <w:t>二</w:t>
      </w:r>
      <w:r>
        <w:t>、重要提示</w:t>
      </w:r>
    </w:p>
    <w:p w:rsidR="00447C76" w:rsidRDefault="001E50FA">
      <w:pPr>
        <w:pStyle w:val="ab"/>
        <w:numPr>
          <w:ilvl w:val="0"/>
          <w:numId w:val="1"/>
        </w:numPr>
        <w:tabs>
          <w:tab w:val="left" w:pos="861"/>
        </w:tabs>
        <w:spacing w:before="0" w:line="360" w:lineRule="auto"/>
        <w:ind w:left="0" w:firstLine="482"/>
        <w:rPr>
          <w:sz w:val="24"/>
        </w:rPr>
      </w:pPr>
      <w:r>
        <w:rPr>
          <w:rFonts w:hint="eastAsia"/>
          <w:sz w:val="24"/>
        </w:rPr>
        <w:t>上述基金费率请详见基金的《基金合同》、《招募说明书》、《基金产品资料概要》等相关法律文件及本公司发布的最新业务公告。</w:t>
      </w:r>
    </w:p>
    <w:p w:rsidR="00447C76" w:rsidRDefault="001E50FA">
      <w:pPr>
        <w:pStyle w:val="ab"/>
        <w:numPr>
          <w:ilvl w:val="0"/>
          <w:numId w:val="1"/>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447C76" w:rsidRDefault="001E50FA">
      <w:pPr>
        <w:pStyle w:val="ab"/>
        <w:numPr>
          <w:ilvl w:val="0"/>
          <w:numId w:val="1"/>
        </w:numPr>
        <w:tabs>
          <w:tab w:val="left" w:pos="861"/>
        </w:tabs>
        <w:spacing w:before="0" w:line="360" w:lineRule="auto"/>
        <w:ind w:left="0"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447C76" w:rsidRDefault="001E50FA">
      <w:pPr>
        <w:pStyle w:val="a4"/>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2" w:name="1.宁波银行股份有限公司"/>
      <w:bookmarkEnd w:id="2"/>
    </w:p>
    <w:p w:rsidR="00447C76" w:rsidRDefault="001E50FA">
      <w:pPr>
        <w:spacing w:line="360" w:lineRule="auto"/>
        <w:rPr>
          <w:spacing w:val="-1"/>
          <w:sz w:val="24"/>
          <w:szCs w:val="24"/>
          <w:lang w:val="en-US"/>
        </w:rPr>
      </w:pPr>
      <w:r>
        <w:rPr>
          <w:rFonts w:hint="eastAsia"/>
          <w:spacing w:val="-1"/>
          <w:sz w:val="24"/>
          <w:szCs w:val="24"/>
          <w:lang w:val="en-US"/>
        </w:rPr>
        <w:t>1.</w:t>
      </w:r>
      <w:r>
        <w:rPr>
          <w:rFonts w:hint="eastAsia"/>
          <w:spacing w:val="-1"/>
          <w:sz w:val="24"/>
          <w:szCs w:val="24"/>
          <w:lang w:val="en-US"/>
        </w:rPr>
        <w:t>西部证券股份有限公司</w:t>
      </w:r>
    </w:p>
    <w:p w:rsidR="00447C76" w:rsidRDefault="001E50FA">
      <w:pPr>
        <w:spacing w:line="360" w:lineRule="auto"/>
        <w:rPr>
          <w:spacing w:val="-1"/>
          <w:sz w:val="24"/>
          <w:szCs w:val="24"/>
          <w:lang w:val="en-US"/>
        </w:rPr>
      </w:pPr>
      <w:r>
        <w:rPr>
          <w:rFonts w:hint="eastAsia"/>
          <w:spacing w:val="-1"/>
          <w:sz w:val="24"/>
          <w:szCs w:val="24"/>
          <w:lang w:val="en-US"/>
        </w:rPr>
        <w:lastRenderedPageBreak/>
        <w:t>客服电话：</w:t>
      </w:r>
      <w:r>
        <w:rPr>
          <w:rFonts w:hint="eastAsia"/>
          <w:spacing w:val="-1"/>
          <w:sz w:val="24"/>
          <w:szCs w:val="24"/>
          <w:lang w:val="en-US"/>
        </w:rPr>
        <w:t>95582</w:t>
      </w:r>
    </w:p>
    <w:p w:rsidR="00447C76" w:rsidRDefault="001E50FA">
      <w:pPr>
        <w:spacing w:line="360" w:lineRule="auto"/>
        <w:rPr>
          <w:spacing w:val="-1"/>
          <w:sz w:val="24"/>
          <w:szCs w:val="24"/>
          <w:lang w:val="en-US"/>
        </w:rPr>
      </w:pPr>
      <w:r>
        <w:rPr>
          <w:rFonts w:hint="eastAsia"/>
          <w:spacing w:val="-1"/>
          <w:sz w:val="24"/>
          <w:szCs w:val="24"/>
          <w:lang w:val="en-US"/>
        </w:rPr>
        <w:t>网址：</w:t>
      </w:r>
      <w:r>
        <w:rPr>
          <w:rFonts w:hint="eastAsia"/>
          <w:lang w:val="en-US"/>
        </w:rPr>
        <w:t>www.westsecu.com</w:t>
      </w:r>
    </w:p>
    <w:p w:rsidR="00447C76" w:rsidRDefault="001E50FA">
      <w:pPr>
        <w:spacing w:line="360" w:lineRule="auto"/>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447C76" w:rsidRDefault="00447C76">
      <w:pPr>
        <w:spacing w:line="360" w:lineRule="auto"/>
        <w:rPr>
          <w:b/>
          <w:lang w:val="en-US"/>
        </w:rPr>
      </w:pPr>
      <w:hyperlink r:id="rId6">
        <w:r w:rsidR="001E50FA">
          <w:rPr>
            <w:rFonts w:hint="eastAsia"/>
            <w:spacing w:val="-1"/>
            <w:sz w:val="24"/>
            <w:szCs w:val="24"/>
            <w:lang w:val="en-US"/>
          </w:rPr>
          <w:t>网址：</w:t>
        </w:r>
        <w:r w:rsidR="001E50FA">
          <w:rPr>
            <w:rFonts w:hint="eastAsia"/>
            <w:spacing w:val="-1"/>
            <w:sz w:val="24"/>
            <w:szCs w:val="24"/>
            <w:lang w:val="en-US"/>
          </w:rPr>
          <w:t>www.df5888.com</w:t>
        </w:r>
      </w:hyperlink>
      <w:r w:rsidR="001E50FA">
        <w:rPr>
          <w:rFonts w:hint="eastAsia"/>
          <w:spacing w:val="-1"/>
          <w:sz w:val="24"/>
          <w:szCs w:val="24"/>
          <w:lang w:val="en-US"/>
        </w:rPr>
        <w:t>或</w:t>
      </w:r>
      <w:r w:rsidR="001E50FA">
        <w:rPr>
          <w:rFonts w:hint="eastAsia"/>
          <w:spacing w:val="-1"/>
          <w:sz w:val="24"/>
          <w:szCs w:val="24"/>
          <w:lang w:val="en-US"/>
        </w:rPr>
        <w:t xml:space="preserve"> </w:t>
      </w:r>
      <w:hyperlink r:id="rId7">
        <w:r w:rsidR="001E50FA">
          <w:rPr>
            <w:rFonts w:hint="eastAsia"/>
            <w:spacing w:val="-1"/>
            <w:sz w:val="24"/>
            <w:szCs w:val="24"/>
            <w:lang w:val="en-US"/>
          </w:rPr>
          <w:t xml:space="preserve">www.orient-fund.com </w:t>
        </w:r>
      </w:hyperlink>
    </w:p>
    <w:p w:rsidR="00447C76" w:rsidRDefault="001E50FA">
      <w:pPr>
        <w:pStyle w:val="a4"/>
        <w:spacing w:line="364" w:lineRule="auto"/>
        <w:ind w:right="3839"/>
        <w:rPr>
          <w:b/>
        </w:rPr>
      </w:pPr>
      <w:r>
        <w:rPr>
          <w:b/>
        </w:rPr>
        <w:t>风险提示：</w:t>
      </w:r>
    </w:p>
    <w:p w:rsidR="00447C76" w:rsidRDefault="001E50FA">
      <w:pPr>
        <w:pStyle w:val="a4"/>
        <w:spacing w:before="1" w:line="360" w:lineRule="auto"/>
        <w:ind w:left="0" w:right="239" w:firstLineChars="200" w:firstLine="480"/>
        <w:jc w:val="both"/>
      </w:pPr>
      <w:r>
        <w:t>基金管理人承诺以诚实信用、勤勉尽责的原则管理和运用基金资产，但不</w:t>
      </w:r>
      <w:r>
        <w:t>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447C76" w:rsidRDefault="001E50FA">
      <w:pPr>
        <w:pStyle w:val="a4"/>
        <w:spacing w:before="1" w:line="360" w:lineRule="auto"/>
        <w:ind w:right="239" w:firstLine="480"/>
        <w:jc w:val="both"/>
      </w:pPr>
      <w:r>
        <w:t>特此公告。</w:t>
      </w:r>
    </w:p>
    <w:p w:rsidR="00447C76" w:rsidRDefault="00447C76">
      <w:pPr>
        <w:pStyle w:val="a4"/>
        <w:spacing w:before="1" w:line="360" w:lineRule="auto"/>
        <w:ind w:right="239" w:firstLine="480"/>
        <w:jc w:val="both"/>
      </w:pPr>
    </w:p>
    <w:p w:rsidR="00447C76" w:rsidRDefault="001E50FA">
      <w:pPr>
        <w:spacing w:line="364" w:lineRule="auto"/>
        <w:jc w:val="right"/>
        <w:rPr>
          <w:sz w:val="24"/>
          <w:szCs w:val="24"/>
        </w:rPr>
      </w:pPr>
      <w:r>
        <w:rPr>
          <w:sz w:val="24"/>
          <w:szCs w:val="24"/>
        </w:rPr>
        <w:t>东方基金管理股份有限公</w:t>
      </w:r>
      <w:r>
        <w:rPr>
          <w:rFonts w:hint="eastAsia"/>
          <w:sz w:val="24"/>
          <w:szCs w:val="24"/>
        </w:rPr>
        <w:t>司</w:t>
      </w:r>
    </w:p>
    <w:p w:rsidR="00447C76" w:rsidRDefault="001E50FA">
      <w:pPr>
        <w:jc w:val="right"/>
      </w:pPr>
      <w:r>
        <w:rPr>
          <w:sz w:val="24"/>
          <w:szCs w:val="24"/>
        </w:rPr>
        <w:t>二〇二</w:t>
      </w:r>
      <w:r>
        <w:rPr>
          <w:rFonts w:hint="eastAsia"/>
          <w:sz w:val="24"/>
          <w:szCs w:val="24"/>
          <w:lang w:val="en-US"/>
        </w:rPr>
        <w:t>二</w:t>
      </w:r>
      <w:r>
        <w:rPr>
          <w:sz w:val="24"/>
          <w:szCs w:val="24"/>
        </w:rPr>
        <w:t>年</w:t>
      </w:r>
      <w:r>
        <w:rPr>
          <w:rFonts w:hint="eastAsia"/>
          <w:sz w:val="24"/>
          <w:szCs w:val="24"/>
          <w:lang w:val="en-US"/>
        </w:rPr>
        <w:t>五</w:t>
      </w:r>
      <w:r>
        <w:rPr>
          <w:sz w:val="24"/>
          <w:szCs w:val="24"/>
        </w:rPr>
        <w:t>月</w:t>
      </w:r>
      <w:r>
        <w:rPr>
          <w:rFonts w:hint="eastAsia"/>
          <w:sz w:val="24"/>
          <w:szCs w:val="24"/>
          <w:lang w:val="en-US"/>
        </w:rPr>
        <w:t>十</w:t>
      </w:r>
      <w:r>
        <w:rPr>
          <w:sz w:val="24"/>
          <w:szCs w:val="24"/>
        </w:rPr>
        <w:t>日</w:t>
      </w:r>
    </w:p>
    <w:p w:rsidR="00447C76" w:rsidRDefault="00447C76"/>
    <w:sectPr w:rsidR="00447C76" w:rsidSect="00447C76">
      <w:pgSz w:w="12240" w:h="15840"/>
      <w:pgMar w:top="1480" w:right="156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00172A27"/>
    <w:rsid w:val="000178C2"/>
    <w:rsid w:val="00172A27"/>
    <w:rsid w:val="001E50FA"/>
    <w:rsid w:val="00223749"/>
    <w:rsid w:val="00447C76"/>
    <w:rsid w:val="007609A8"/>
    <w:rsid w:val="008C27D5"/>
    <w:rsid w:val="00985311"/>
    <w:rsid w:val="166B40DF"/>
    <w:rsid w:val="30E70574"/>
    <w:rsid w:val="3974523D"/>
    <w:rsid w:val="40B501AE"/>
    <w:rsid w:val="4A91213B"/>
    <w:rsid w:val="4C7C1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47C7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47C76"/>
    <w:pPr>
      <w:spacing w:before="3"/>
      <w:ind w:left="220"/>
      <w:outlineLvl w:val="0"/>
    </w:pPr>
    <w:rPr>
      <w:b/>
      <w:bCs/>
      <w:sz w:val="24"/>
      <w:szCs w:val="24"/>
    </w:rPr>
  </w:style>
  <w:style w:type="paragraph" w:styleId="2">
    <w:name w:val="heading 2"/>
    <w:basedOn w:val="a"/>
    <w:next w:val="a"/>
    <w:uiPriority w:val="1"/>
    <w:qFormat/>
    <w:rsid w:val="00447C7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447C76"/>
  </w:style>
  <w:style w:type="paragraph" w:styleId="a4">
    <w:name w:val="Body Text"/>
    <w:basedOn w:val="a"/>
    <w:uiPriority w:val="1"/>
    <w:qFormat/>
    <w:rsid w:val="00447C76"/>
    <w:pPr>
      <w:spacing w:before="160"/>
      <w:ind w:left="220"/>
    </w:pPr>
    <w:rPr>
      <w:sz w:val="24"/>
      <w:szCs w:val="24"/>
    </w:rPr>
  </w:style>
  <w:style w:type="paragraph" w:styleId="a5">
    <w:name w:val="Balloon Text"/>
    <w:basedOn w:val="a"/>
    <w:link w:val="Char0"/>
    <w:rsid w:val="00447C76"/>
    <w:rPr>
      <w:sz w:val="18"/>
      <w:szCs w:val="18"/>
    </w:rPr>
  </w:style>
  <w:style w:type="paragraph" w:styleId="a6">
    <w:name w:val="footer"/>
    <w:basedOn w:val="a"/>
    <w:link w:val="Char1"/>
    <w:rsid w:val="00447C76"/>
    <w:pPr>
      <w:tabs>
        <w:tab w:val="center" w:pos="4153"/>
        <w:tab w:val="right" w:pos="8306"/>
      </w:tabs>
      <w:snapToGrid w:val="0"/>
    </w:pPr>
    <w:rPr>
      <w:sz w:val="18"/>
      <w:szCs w:val="18"/>
    </w:rPr>
  </w:style>
  <w:style w:type="paragraph" w:styleId="a7">
    <w:name w:val="header"/>
    <w:basedOn w:val="a"/>
    <w:link w:val="Char2"/>
    <w:rsid w:val="00447C7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47C76"/>
    <w:rPr>
      <w:rFonts w:cs="Times New Roman"/>
      <w:sz w:val="24"/>
      <w:lang w:val="en-US" w:bidi="ar-SA"/>
    </w:rPr>
  </w:style>
  <w:style w:type="paragraph" w:styleId="a9">
    <w:name w:val="annotation subject"/>
    <w:basedOn w:val="a3"/>
    <w:next w:val="a3"/>
    <w:link w:val="Char3"/>
    <w:rsid w:val="00447C76"/>
    <w:rPr>
      <w:b/>
      <w:bCs/>
    </w:rPr>
  </w:style>
  <w:style w:type="character" w:styleId="aa">
    <w:name w:val="annotation reference"/>
    <w:basedOn w:val="a0"/>
    <w:rsid w:val="00447C76"/>
    <w:rPr>
      <w:sz w:val="21"/>
      <w:szCs w:val="21"/>
    </w:rPr>
  </w:style>
  <w:style w:type="paragraph" w:styleId="ab">
    <w:name w:val="List Paragraph"/>
    <w:basedOn w:val="a"/>
    <w:uiPriority w:val="1"/>
    <w:qFormat/>
    <w:rsid w:val="00447C76"/>
    <w:pPr>
      <w:spacing w:before="160"/>
      <w:ind w:left="220" w:hanging="241"/>
    </w:pPr>
  </w:style>
  <w:style w:type="paragraph" w:customStyle="1" w:styleId="Default">
    <w:name w:val="Default"/>
    <w:uiPriority w:val="99"/>
    <w:unhideWhenUsed/>
    <w:rsid w:val="00447C76"/>
    <w:pPr>
      <w:widowControl w:val="0"/>
      <w:autoSpaceDE w:val="0"/>
      <w:autoSpaceDN w:val="0"/>
      <w:adjustRightInd w:val="0"/>
    </w:pPr>
    <w:rPr>
      <w:rFonts w:ascii="宋体" w:hAnsi="宋体" w:cstheme="minorBidi" w:hint="eastAsia"/>
      <w:color w:val="000000"/>
      <w:sz w:val="24"/>
      <w:szCs w:val="24"/>
    </w:rPr>
  </w:style>
  <w:style w:type="character" w:customStyle="1" w:styleId="Char2">
    <w:name w:val="页眉 Char"/>
    <w:basedOn w:val="a0"/>
    <w:link w:val="a7"/>
    <w:rsid w:val="00447C76"/>
    <w:rPr>
      <w:rFonts w:ascii="仿宋" w:eastAsia="仿宋" w:hAnsi="仿宋" w:cs="仿宋"/>
      <w:sz w:val="18"/>
      <w:szCs w:val="18"/>
      <w:lang w:val="zh-CN" w:bidi="zh-CN"/>
    </w:rPr>
  </w:style>
  <w:style w:type="character" w:customStyle="1" w:styleId="Char1">
    <w:name w:val="页脚 Char"/>
    <w:basedOn w:val="a0"/>
    <w:link w:val="a6"/>
    <w:rsid w:val="00447C76"/>
    <w:rPr>
      <w:rFonts w:ascii="仿宋" w:eastAsia="仿宋" w:hAnsi="仿宋" w:cs="仿宋"/>
      <w:sz w:val="18"/>
      <w:szCs w:val="18"/>
      <w:lang w:val="zh-CN" w:bidi="zh-CN"/>
    </w:rPr>
  </w:style>
  <w:style w:type="character" w:customStyle="1" w:styleId="Char">
    <w:name w:val="批注文字 Char"/>
    <w:basedOn w:val="a0"/>
    <w:link w:val="a3"/>
    <w:rsid w:val="00447C76"/>
    <w:rPr>
      <w:rFonts w:ascii="仿宋" w:eastAsia="仿宋" w:hAnsi="仿宋" w:cs="仿宋"/>
      <w:sz w:val="22"/>
      <w:szCs w:val="22"/>
      <w:lang w:val="zh-CN" w:bidi="zh-CN"/>
    </w:rPr>
  </w:style>
  <w:style w:type="character" w:customStyle="1" w:styleId="Char3">
    <w:name w:val="批注主题 Char"/>
    <w:basedOn w:val="Char"/>
    <w:link w:val="a9"/>
    <w:rsid w:val="00447C76"/>
    <w:rPr>
      <w:b/>
      <w:bCs/>
    </w:rPr>
  </w:style>
  <w:style w:type="character" w:customStyle="1" w:styleId="Char0">
    <w:name w:val="批注框文本 Char"/>
    <w:basedOn w:val="a0"/>
    <w:link w:val="a5"/>
    <w:rsid w:val="00447C76"/>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ient-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5888.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4</DocSecurity>
  <Lines>18</Lines>
  <Paragraphs>5</Paragraphs>
  <ScaleCrop>false</ScaleCrop>
  <Company>CNSTOCK</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2022-05-09T16:01:00Z</dcterms:created>
  <dcterms:modified xsi:type="dcterms:W3CDTF">2022-05-09T16:01:00Z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37C3532EA2EA4225871C9B9A772DB7B0</vt:lpwstr>
  </property>
</Properties>
</file>