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85DD2" w:rsidRDefault="005901D5" w:rsidP="00B85DD2">
      <w:pPr>
        <w:pStyle w:val="a7"/>
        <w:spacing w:before="0" w:beforeAutospacing="0" w:after="0" w:afterAutospacing="0" w:line="360" w:lineRule="auto"/>
        <w:jc w:val="center"/>
        <w:rPr>
          <w:b/>
          <w:bCs/>
          <w:sz w:val="28"/>
        </w:rPr>
      </w:pPr>
      <w:r w:rsidRPr="005901D5">
        <w:rPr>
          <w:rFonts w:hint="eastAsia"/>
          <w:b/>
          <w:bCs/>
          <w:sz w:val="28"/>
        </w:rPr>
        <w:t>金鹰基金管理有限公司旗下部分基金新增</w:t>
      </w:r>
      <w:r w:rsidR="007F065F" w:rsidRPr="007F065F">
        <w:rPr>
          <w:rFonts w:hint="eastAsia"/>
          <w:b/>
          <w:bCs/>
          <w:sz w:val="28"/>
        </w:rPr>
        <w:t>东莞证券股份有限公司</w:t>
      </w:r>
      <w:r w:rsidRPr="005901D5">
        <w:rPr>
          <w:rFonts w:hint="eastAsia"/>
          <w:b/>
          <w:bCs/>
          <w:sz w:val="28"/>
        </w:rPr>
        <w:t>为代销机构并开通基金转换、基金定投业务及费率优惠的公</w:t>
      </w:r>
      <w:r w:rsidR="00B85DD2" w:rsidRPr="00B85DD2">
        <w:rPr>
          <w:rFonts w:hint="eastAsia"/>
          <w:b/>
          <w:bCs/>
          <w:sz w:val="28"/>
        </w:rPr>
        <w:t>告</w:t>
      </w:r>
    </w:p>
    <w:p w:rsidR="00B85DD2" w:rsidRPr="00680493"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7F065F" w:rsidRPr="007F065F">
        <w:rPr>
          <w:rFonts w:hint="eastAsia"/>
        </w:rPr>
        <w:t>东莞证券股份有限公司</w:t>
      </w:r>
      <w:r w:rsidR="00163302" w:rsidRPr="00FE28BD">
        <w:rPr>
          <w:rFonts w:hint="eastAsia"/>
        </w:rPr>
        <w:t>（以下简称“</w:t>
      </w:r>
      <w:r w:rsidR="007F065F">
        <w:rPr>
          <w:rFonts w:hint="eastAsia"/>
        </w:rPr>
        <w:t>东莞证券</w:t>
      </w:r>
      <w:r w:rsidR="00163302" w:rsidRPr="00FE28BD">
        <w:rPr>
          <w:rFonts w:hint="eastAsia"/>
        </w:rPr>
        <w:t>”</w:t>
      </w:r>
      <w:r w:rsidR="00163302">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4B7B90">
        <w:rPr>
          <w:rFonts w:cs="Calibri"/>
        </w:rPr>
        <w:t>2</w:t>
      </w:r>
      <w:r w:rsidRPr="009877A4">
        <w:rPr>
          <w:rFonts w:cs="Calibri" w:hint="eastAsia"/>
        </w:rPr>
        <w:t>年</w:t>
      </w:r>
      <w:r w:rsidR="00FB497E">
        <w:rPr>
          <w:rFonts w:cs="Calibri"/>
        </w:rPr>
        <w:t>5</w:t>
      </w:r>
      <w:r w:rsidRPr="009877A4">
        <w:rPr>
          <w:rFonts w:cs="Calibri" w:hint="eastAsia"/>
        </w:rPr>
        <w:t>月</w:t>
      </w:r>
      <w:r w:rsidR="00FB497E">
        <w:rPr>
          <w:rFonts w:cs="Calibri"/>
        </w:rPr>
        <w:t>5</w:t>
      </w:r>
      <w:r w:rsidRPr="009877A4">
        <w:rPr>
          <w:rFonts w:cs="Calibri" w:hint="eastAsia"/>
        </w:rPr>
        <w:t>日起</w:t>
      </w:r>
      <w:r w:rsidRPr="009877A4">
        <w:rPr>
          <w:rFonts w:asciiTheme="minorEastAsia" w:hAnsiTheme="minorEastAsia" w:cs="Calibri" w:hint="eastAsia"/>
        </w:rPr>
        <w:t>，</w:t>
      </w:r>
      <w:r w:rsidR="007E2426">
        <w:rPr>
          <w:rFonts w:asciiTheme="minorEastAsia" w:hAnsiTheme="minorEastAsia" w:cs="Calibri" w:hint="eastAsia"/>
        </w:rPr>
        <w:t>通过</w:t>
      </w:r>
      <w:r w:rsidR="007F065F">
        <w:rPr>
          <w:rFonts w:asciiTheme="minorEastAsia" w:hAnsiTheme="minorEastAsia" w:cs="Calibri" w:hint="eastAsia"/>
        </w:rPr>
        <w:t>东莞证券</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 </w:t>
      </w:r>
      <w:r w:rsidR="002A228B">
        <w:rPr>
          <w:rFonts w:cs="Calibri" w:hint="eastAsia"/>
        </w:rPr>
        <w:t>一、新增代销基金</w:t>
      </w:r>
    </w:p>
    <w:tbl>
      <w:tblPr>
        <w:tblStyle w:val="a9"/>
        <w:tblW w:w="0" w:type="auto"/>
        <w:tblLook w:val="04A0"/>
      </w:tblPr>
      <w:tblGrid>
        <w:gridCol w:w="1526"/>
        <w:gridCol w:w="6662"/>
      </w:tblGrid>
      <w:tr w:rsidR="00CA62D2" w:rsidRPr="004636F5" w:rsidTr="0090126B">
        <w:trPr>
          <w:trHeight w:val="492"/>
        </w:trPr>
        <w:tc>
          <w:tcPr>
            <w:tcW w:w="1526"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6662"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FB497E" w:rsidRPr="004636F5" w:rsidTr="00E1030D">
        <w:trPr>
          <w:trHeight w:val="330"/>
        </w:trPr>
        <w:tc>
          <w:tcPr>
            <w:tcW w:w="1526" w:type="dxa"/>
            <w:noWrap/>
            <w:vAlign w:val="center"/>
          </w:tcPr>
          <w:p w:rsidR="00FB497E" w:rsidRDefault="00FB497E" w:rsidP="00FB497E">
            <w:pPr>
              <w:pStyle w:val="a7"/>
              <w:spacing w:line="360" w:lineRule="auto"/>
              <w:ind w:firstLine="420"/>
              <w:rPr>
                <w:color w:val="000000"/>
              </w:rPr>
            </w:pPr>
            <w:r>
              <w:rPr>
                <w:rFonts w:hint="eastAsia"/>
                <w:color w:val="000000"/>
              </w:rPr>
              <w:t>001298</w:t>
            </w:r>
          </w:p>
        </w:tc>
        <w:tc>
          <w:tcPr>
            <w:tcW w:w="6662" w:type="dxa"/>
            <w:noWrap/>
            <w:vAlign w:val="center"/>
          </w:tcPr>
          <w:p w:rsidR="00FB497E" w:rsidRDefault="00FB497E" w:rsidP="00FB497E">
            <w:pPr>
              <w:pStyle w:val="a7"/>
              <w:spacing w:line="360" w:lineRule="auto"/>
              <w:ind w:firstLine="420"/>
              <w:rPr>
                <w:color w:val="000000"/>
              </w:rPr>
            </w:pPr>
            <w:r>
              <w:rPr>
                <w:rFonts w:hint="eastAsia"/>
                <w:color w:val="000000"/>
              </w:rPr>
              <w:t>金鹰民族新兴灵活配置混合型证券投资基金</w:t>
            </w:r>
          </w:p>
        </w:tc>
      </w:tr>
      <w:tr w:rsidR="00FB497E" w:rsidRPr="004636F5" w:rsidTr="00E1030D">
        <w:trPr>
          <w:trHeight w:val="330"/>
        </w:trPr>
        <w:tc>
          <w:tcPr>
            <w:tcW w:w="1526" w:type="dxa"/>
            <w:noWrap/>
            <w:vAlign w:val="center"/>
          </w:tcPr>
          <w:p w:rsidR="00FB497E" w:rsidRDefault="00FB497E" w:rsidP="00FB497E">
            <w:pPr>
              <w:pStyle w:val="a7"/>
              <w:spacing w:line="360" w:lineRule="auto"/>
              <w:ind w:firstLine="420"/>
              <w:rPr>
                <w:color w:val="000000"/>
              </w:rPr>
            </w:pPr>
            <w:r>
              <w:rPr>
                <w:rFonts w:hint="eastAsia"/>
                <w:color w:val="000000"/>
              </w:rPr>
              <w:t>004040</w:t>
            </w:r>
          </w:p>
        </w:tc>
        <w:tc>
          <w:tcPr>
            <w:tcW w:w="6662" w:type="dxa"/>
            <w:noWrap/>
            <w:vAlign w:val="center"/>
          </w:tcPr>
          <w:p w:rsidR="00FB497E" w:rsidRDefault="00FB497E" w:rsidP="00FB497E">
            <w:pPr>
              <w:pStyle w:val="a7"/>
              <w:spacing w:line="360" w:lineRule="auto"/>
              <w:ind w:firstLine="420"/>
              <w:rPr>
                <w:color w:val="000000"/>
              </w:rPr>
            </w:pPr>
            <w:r>
              <w:rPr>
                <w:rFonts w:hint="eastAsia"/>
                <w:color w:val="000000"/>
              </w:rPr>
              <w:t>金鹰医疗健康产业股票型证券投资基金A类份额</w:t>
            </w:r>
          </w:p>
        </w:tc>
      </w:tr>
      <w:tr w:rsidR="00FB497E" w:rsidRPr="004636F5" w:rsidTr="00E1030D">
        <w:trPr>
          <w:trHeight w:val="330"/>
        </w:trPr>
        <w:tc>
          <w:tcPr>
            <w:tcW w:w="1526" w:type="dxa"/>
            <w:noWrap/>
            <w:vAlign w:val="center"/>
          </w:tcPr>
          <w:p w:rsidR="00FB497E" w:rsidRPr="00FE28BD" w:rsidRDefault="00FB497E" w:rsidP="00FB497E">
            <w:pPr>
              <w:pStyle w:val="a7"/>
              <w:spacing w:line="360" w:lineRule="auto"/>
              <w:ind w:firstLine="420"/>
              <w:rPr>
                <w:color w:val="000000"/>
              </w:rPr>
            </w:pPr>
            <w:r>
              <w:rPr>
                <w:rFonts w:hint="eastAsia"/>
                <w:color w:val="000000"/>
              </w:rPr>
              <w:t>004041</w:t>
            </w:r>
          </w:p>
        </w:tc>
        <w:tc>
          <w:tcPr>
            <w:tcW w:w="6662" w:type="dxa"/>
            <w:noWrap/>
            <w:vAlign w:val="center"/>
          </w:tcPr>
          <w:p w:rsidR="00FB497E" w:rsidRPr="00FE28BD" w:rsidRDefault="00FB497E" w:rsidP="00FB497E">
            <w:pPr>
              <w:pStyle w:val="a7"/>
              <w:spacing w:line="360" w:lineRule="auto"/>
              <w:ind w:firstLine="420"/>
              <w:rPr>
                <w:color w:val="000000"/>
              </w:rPr>
            </w:pPr>
            <w:r>
              <w:rPr>
                <w:rFonts w:hint="eastAsia"/>
                <w:color w:val="000000"/>
              </w:rPr>
              <w:t>金鹰医疗健康产业股票型证券投资基金C类份额</w:t>
            </w:r>
          </w:p>
        </w:tc>
      </w:tr>
      <w:tr w:rsidR="00FB497E" w:rsidRPr="004636F5" w:rsidTr="00E1030D">
        <w:trPr>
          <w:trHeight w:val="330"/>
        </w:trPr>
        <w:tc>
          <w:tcPr>
            <w:tcW w:w="1526" w:type="dxa"/>
            <w:noWrap/>
            <w:vAlign w:val="center"/>
          </w:tcPr>
          <w:p w:rsidR="00FB497E" w:rsidRDefault="00FB497E" w:rsidP="00FB497E">
            <w:pPr>
              <w:pStyle w:val="a7"/>
              <w:spacing w:line="360" w:lineRule="auto"/>
              <w:ind w:firstLine="420"/>
              <w:rPr>
                <w:color w:val="000000"/>
              </w:rPr>
            </w:pPr>
            <w:r>
              <w:rPr>
                <w:rFonts w:hint="eastAsia"/>
                <w:color w:val="000000"/>
              </w:rPr>
              <w:t>001366</w:t>
            </w:r>
          </w:p>
        </w:tc>
        <w:tc>
          <w:tcPr>
            <w:tcW w:w="6662" w:type="dxa"/>
            <w:noWrap/>
            <w:vAlign w:val="center"/>
          </w:tcPr>
          <w:p w:rsidR="00FB497E" w:rsidRDefault="00FB497E" w:rsidP="00FB497E">
            <w:pPr>
              <w:pStyle w:val="a7"/>
              <w:spacing w:line="360" w:lineRule="auto"/>
              <w:ind w:firstLine="420"/>
              <w:rPr>
                <w:color w:val="000000"/>
              </w:rPr>
            </w:pPr>
            <w:r>
              <w:rPr>
                <w:rFonts w:hint="eastAsia"/>
                <w:color w:val="000000"/>
              </w:rPr>
              <w:t>金鹰产业整合灵活配置混合型证券投资基金A类份额</w:t>
            </w:r>
          </w:p>
        </w:tc>
      </w:tr>
      <w:tr w:rsidR="00495292" w:rsidRPr="004636F5" w:rsidTr="00E1030D">
        <w:trPr>
          <w:trHeight w:val="330"/>
        </w:trPr>
        <w:tc>
          <w:tcPr>
            <w:tcW w:w="1526" w:type="dxa"/>
            <w:noWrap/>
            <w:vAlign w:val="center"/>
          </w:tcPr>
          <w:p w:rsidR="00495292" w:rsidRDefault="00495292" w:rsidP="00495292">
            <w:pPr>
              <w:pStyle w:val="a7"/>
              <w:spacing w:line="360" w:lineRule="auto"/>
              <w:ind w:firstLine="420"/>
              <w:rPr>
                <w:color w:val="000000"/>
              </w:rPr>
            </w:pPr>
            <w:r>
              <w:rPr>
                <w:rFonts w:hint="eastAsia"/>
                <w:color w:val="000000"/>
              </w:rPr>
              <w:t>015640</w:t>
            </w:r>
          </w:p>
        </w:tc>
        <w:tc>
          <w:tcPr>
            <w:tcW w:w="6662" w:type="dxa"/>
            <w:noWrap/>
            <w:vAlign w:val="center"/>
          </w:tcPr>
          <w:p w:rsidR="00495292" w:rsidRDefault="00495292" w:rsidP="00495292">
            <w:pPr>
              <w:pStyle w:val="a7"/>
              <w:spacing w:line="360" w:lineRule="auto"/>
              <w:ind w:firstLine="420"/>
              <w:rPr>
                <w:color w:val="000000"/>
              </w:rPr>
            </w:pPr>
            <w:r>
              <w:rPr>
                <w:rFonts w:hint="eastAsia"/>
                <w:color w:val="000000"/>
              </w:rPr>
              <w:t>金鹰产业整合灵活配置混合型证券投资基金C类份额</w:t>
            </w:r>
          </w:p>
        </w:tc>
      </w:tr>
      <w:tr w:rsidR="00FB497E" w:rsidRPr="004636F5" w:rsidTr="00E1030D">
        <w:trPr>
          <w:trHeight w:val="330"/>
        </w:trPr>
        <w:tc>
          <w:tcPr>
            <w:tcW w:w="1526" w:type="dxa"/>
            <w:noWrap/>
            <w:vAlign w:val="center"/>
          </w:tcPr>
          <w:p w:rsidR="00FB497E" w:rsidRDefault="00FB497E" w:rsidP="00FB497E">
            <w:pPr>
              <w:pStyle w:val="a7"/>
              <w:spacing w:line="360" w:lineRule="auto"/>
              <w:ind w:firstLine="420"/>
              <w:rPr>
                <w:color w:val="000000"/>
              </w:rPr>
            </w:pPr>
            <w:r>
              <w:rPr>
                <w:rFonts w:hint="eastAsia"/>
                <w:color w:val="000000"/>
              </w:rPr>
              <w:t>011260</w:t>
            </w:r>
          </w:p>
        </w:tc>
        <w:tc>
          <w:tcPr>
            <w:tcW w:w="6662" w:type="dxa"/>
            <w:noWrap/>
            <w:vAlign w:val="center"/>
          </w:tcPr>
          <w:p w:rsidR="00FB497E" w:rsidRDefault="00FB497E" w:rsidP="00FB497E">
            <w:pPr>
              <w:pStyle w:val="a7"/>
              <w:spacing w:line="360" w:lineRule="auto"/>
              <w:ind w:firstLine="420"/>
              <w:rPr>
                <w:color w:val="000000"/>
              </w:rPr>
            </w:pPr>
            <w:r>
              <w:rPr>
                <w:rFonts w:hint="eastAsia"/>
                <w:color w:val="000000"/>
              </w:rPr>
              <w:t>金鹰新能源混合型证券投资基金A类份额</w:t>
            </w:r>
          </w:p>
        </w:tc>
      </w:tr>
      <w:tr w:rsidR="00FB497E" w:rsidRPr="004636F5" w:rsidTr="00E1030D">
        <w:trPr>
          <w:trHeight w:val="330"/>
        </w:trPr>
        <w:tc>
          <w:tcPr>
            <w:tcW w:w="1526" w:type="dxa"/>
            <w:noWrap/>
            <w:vAlign w:val="center"/>
          </w:tcPr>
          <w:p w:rsidR="00FB497E" w:rsidRDefault="00FB497E" w:rsidP="00FB497E">
            <w:pPr>
              <w:pStyle w:val="a7"/>
              <w:spacing w:line="360" w:lineRule="auto"/>
              <w:ind w:firstLine="420"/>
              <w:rPr>
                <w:color w:val="000000"/>
              </w:rPr>
            </w:pPr>
            <w:r>
              <w:rPr>
                <w:rFonts w:hint="eastAsia"/>
                <w:color w:val="000000"/>
              </w:rPr>
              <w:t>011261</w:t>
            </w:r>
          </w:p>
        </w:tc>
        <w:tc>
          <w:tcPr>
            <w:tcW w:w="6662" w:type="dxa"/>
            <w:noWrap/>
            <w:vAlign w:val="center"/>
          </w:tcPr>
          <w:p w:rsidR="00FB497E" w:rsidRDefault="00FB497E" w:rsidP="00FB497E">
            <w:pPr>
              <w:pStyle w:val="a7"/>
              <w:spacing w:line="360" w:lineRule="auto"/>
              <w:ind w:firstLine="420"/>
              <w:rPr>
                <w:color w:val="000000"/>
              </w:rPr>
            </w:pPr>
            <w:r>
              <w:rPr>
                <w:rFonts w:hint="eastAsia"/>
                <w:color w:val="000000"/>
              </w:rPr>
              <w:t>金鹰新能源混合型证券投资基金C类份额</w:t>
            </w:r>
          </w:p>
        </w:tc>
      </w:tr>
      <w:tr w:rsidR="00FB497E" w:rsidRPr="004636F5" w:rsidTr="00E1030D">
        <w:trPr>
          <w:trHeight w:val="330"/>
        </w:trPr>
        <w:tc>
          <w:tcPr>
            <w:tcW w:w="1526" w:type="dxa"/>
            <w:noWrap/>
            <w:vAlign w:val="center"/>
          </w:tcPr>
          <w:p w:rsidR="00FB497E" w:rsidRDefault="00FB497E" w:rsidP="00FB497E">
            <w:pPr>
              <w:pStyle w:val="a7"/>
              <w:spacing w:line="360" w:lineRule="auto"/>
              <w:ind w:firstLine="420"/>
              <w:rPr>
                <w:color w:val="000000"/>
              </w:rPr>
            </w:pPr>
            <w:r>
              <w:rPr>
                <w:rFonts w:hint="eastAsia"/>
                <w:color w:val="000000"/>
              </w:rPr>
              <w:t>002844</w:t>
            </w:r>
          </w:p>
        </w:tc>
        <w:tc>
          <w:tcPr>
            <w:tcW w:w="6662" w:type="dxa"/>
            <w:noWrap/>
            <w:vAlign w:val="center"/>
          </w:tcPr>
          <w:p w:rsidR="00FB497E" w:rsidRDefault="00FB497E" w:rsidP="00FB497E">
            <w:pPr>
              <w:pStyle w:val="a7"/>
              <w:spacing w:line="360" w:lineRule="auto"/>
              <w:ind w:firstLine="420"/>
              <w:rPr>
                <w:color w:val="000000"/>
              </w:rPr>
            </w:pPr>
            <w:r>
              <w:rPr>
                <w:rFonts w:hint="eastAsia"/>
                <w:color w:val="000000"/>
              </w:rPr>
              <w:t>金鹰多元策略灵活配置混合型证券投资基金</w:t>
            </w:r>
          </w:p>
        </w:tc>
      </w:tr>
      <w:tr w:rsidR="00FB497E" w:rsidRPr="004636F5" w:rsidTr="00C43665">
        <w:trPr>
          <w:trHeight w:val="330"/>
        </w:trPr>
        <w:tc>
          <w:tcPr>
            <w:tcW w:w="1526" w:type="dxa"/>
            <w:noWrap/>
            <w:vAlign w:val="center"/>
          </w:tcPr>
          <w:p w:rsidR="00FB497E" w:rsidRDefault="00FB497E" w:rsidP="00FB497E">
            <w:pPr>
              <w:pStyle w:val="a7"/>
              <w:spacing w:line="360" w:lineRule="auto"/>
              <w:ind w:firstLine="420"/>
              <w:rPr>
                <w:color w:val="000000"/>
              </w:rPr>
            </w:pPr>
            <w:r>
              <w:rPr>
                <w:rFonts w:hint="eastAsia"/>
                <w:color w:val="000000"/>
              </w:rPr>
              <w:t>006389</w:t>
            </w:r>
          </w:p>
        </w:tc>
        <w:tc>
          <w:tcPr>
            <w:tcW w:w="6662" w:type="dxa"/>
            <w:noWrap/>
            <w:vAlign w:val="center"/>
          </w:tcPr>
          <w:p w:rsidR="00FB497E" w:rsidRDefault="00FB497E" w:rsidP="00FB497E">
            <w:pPr>
              <w:pStyle w:val="a7"/>
              <w:spacing w:line="360" w:lineRule="auto"/>
              <w:ind w:firstLine="420"/>
              <w:rPr>
                <w:color w:val="000000"/>
              </w:rPr>
            </w:pPr>
            <w:r>
              <w:rPr>
                <w:rFonts w:hint="eastAsia"/>
                <w:color w:val="000000"/>
              </w:rPr>
              <w:t>金鹰添祥中短债债券型证券投资基金A类份额</w:t>
            </w:r>
          </w:p>
        </w:tc>
      </w:tr>
      <w:tr w:rsidR="00FB497E" w:rsidRPr="004636F5" w:rsidTr="00E1030D">
        <w:trPr>
          <w:trHeight w:val="330"/>
        </w:trPr>
        <w:tc>
          <w:tcPr>
            <w:tcW w:w="1526" w:type="dxa"/>
            <w:noWrap/>
            <w:vAlign w:val="center"/>
          </w:tcPr>
          <w:p w:rsidR="00FB497E" w:rsidRDefault="00FB497E" w:rsidP="00FB497E">
            <w:pPr>
              <w:pStyle w:val="a7"/>
              <w:spacing w:line="360" w:lineRule="auto"/>
              <w:ind w:firstLine="420"/>
              <w:rPr>
                <w:color w:val="000000"/>
              </w:rPr>
            </w:pPr>
            <w:r>
              <w:rPr>
                <w:rFonts w:hint="eastAsia"/>
                <w:color w:val="000000"/>
              </w:rPr>
              <w:t>006390</w:t>
            </w:r>
          </w:p>
        </w:tc>
        <w:tc>
          <w:tcPr>
            <w:tcW w:w="6662" w:type="dxa"/>
            <w:noWrap/>
            <w:vAlign w:val="center"/>
          </w:tcPr>
          <w:p w:rsidR="00FB497E" w:rsidRDefault="00FB497E" w:rsidP="00FB497E">
            <w:pPr>
              <w:pStyle w:val="a7"/>
              <w:spacing w:line="360" w:lineRule="auto"/>
              <w:ind w:firstLine="420"/>
              <w:rPr>
                <w:color w:val="000000"/>
              </w:rPr>
            </w:pPr>
            <w:r>
              <w:rPr>
                <w:rFonts w:hint="eastAsia"/>
                <w:color w:val="000000"/>
              </w:rPr>
              <w:t>金鹰添祥中短债债券型证券投资基金C类份额</w:t>
            </w:r>
          </w:p>
        </w:tc>
      </w:tr>
      <w:tr w:rsidR="00FB497E" w:rsidRPr="004636F5" w:rsidTr="00E1030D">
        <w:trPr>
          <w:trHeight w:val="330"/>
        </w:trPr>
        <w:tc>
          <w:tcPr>
            <w:tcW w:w="1526" w:type="dxa"/>
            <w:noWrap/>
            <w:vAlign w:val="center"/>
          </w:tcPr>
          <w:p w:rsidR="00FB497E" w:rsidRDefault="00FB497E" w:rsidP="00FB497E">
            <w:pPr>
              <w:pStyle w:val="a7"/>
              <w:spacing w:line="360" w:lineRule="auto"/>
              <w:ind w:firstLine="420"/>
              <w:rPr>
                <w:color w:val="000000"/>
              </w:rPr>
            </w:pPr>
            <w:r>
              <w:rPr>
                <w:rFonts w:hint="eastAsia"/>
                <w:color w:val="000000"/>
              </w:rPr>
              <w:t>004267</w:t>
            </w:r>
          </w:p>
        </w:tc>
        <w:tc>
          <w:tcPr>
            <w:tcW w:w="6662" w:type="dxa"/>
            <w:noWrap/>
            <w:vAlign w:val="center"/>
          </w:tcPr>
          <w:p w:rsidR="00FB497E" w:rsidRDefault="00FB497E" w:rsidP="00FB497E">
            <w:pPr>
              <w:pStyle w:val="a7"/>
              <w:spacing w:line="360" w:lineRule="auto"/>
              <w:ind w:firstLine="420"/>
              <w:rPr>
                <w:color w:val="000000"/>
              </w:rPr>
            </w:pPr>
            <w:r>
              <w:rPr>
                <w:rFonts w:hint="eastAsia"/>
                <w:color w:val="000000"/>
              </w:rPr>
              <w:t>金鹰持久增利债券型证券投资基金（LOF）E类份额</w:t>
            </w:r>
          </w:p>
        </w:tc>
      </w:tr>
      <w:tr w:rsidR="00027CB3" w:rsidRPr="004636F5" w:rsidTr="00E1030D">
        <w:trPr>
          <w:trHeight w:val="330"/>
        </w:trPr>
        <w:tc>
          <w:tcPr>
            <w:tcW w:w="1526" w:type="dxa"/>
            <w:noWrap/>
            <w:vAlign w:val="center"/>
          </w:tcPr>
          <w:p w:rsidR="00027CB3" w:rsidRDefault="00027CB3" w:rsidP="00027CB3">
            <w:pPr>
              <w:pStyle w:val="a7"/>
              <w:spacing w:line="360" w:lineRule="auto"/>
              <w:ind w:firstLine="420"/>
              <w:rPr>
                <w:color w:val="000000"/>
              </w:rPr>
            </w:pPr>
            <w:r>
              <w:rPr>
                <w:rFonts w:hint="eastAsia"/>
                <w:color w:val="000000"/>
              </w:rPr>
              <w:t>002490</w:t>
            </w:r>
          </w:p>
        </w:tc>
        <w:tc>
          <w:tcPr>
            <w:tcW w:w="6662" w:type="dxa"/>
            <w:noWrap/>
            <w:vAlign w:val="center"/>
          </w:tcPr>
          <w:p w:rsidR="00027CB3" w:rsidRDefault="00027CB3" w:rsidP="00027CB3">
            <w:pPr>
              <w:pStyle w:val="a7"/>
              <w:spacing w:line="360" w:lineRule="auto"/>
              <w:ind w:firstLine="420"/>
              <w:rPr>
                <w:color w:val="000000"/>
              </w:rPr>
            </w:pPr>
            <w:r>
              <w:rPr>
                <w:rFonts w:hint="eastAsia"/>
                <w:color w:val="000000"/>
              </w:rPr>
              <w:t>金鹰元祺信用债债券型证券投资基金</w:t>
            </w:r>
          </w:p>
        </w:tc>
      </w:tr>
      <w:tr w:rsidR="00027CB3" w:rsidRPr="004636F5" w:rsidTr="00E1030D">
        <w:trPr>
          <w:trHeight w:val="330"/>
        </w:trPr>
        <w:tc>
          <w:tcPr>
            <w:tcW w:w="1526" w:type="dxa"/>
            <w:noWrap/>
            <w:vAlign w:val="center"/>
          </w:tcPr>
          <w:p w:rsidR="00027CB3" w:rsidRDefault="00027CB3" w:rsidP="00027CB3">
            <w:pPr>
              <w:pStyle w:val="a7"/>
              <w:spacing w:line="360" w:lineRule="auto"/>
              <w:ind w:firstLine="420"/>
              <w:rPr>
                <w:color w:val="000000"/>
              </w:rPr>
            </w:pPr>
            <w:r>
              <w:rPr>
                <w:rFonts w:hint="eastAsia"/>
                <w:color w:val="000000"/>
              </w:rPr>
              <w:t>004333</w:t>
            </w:r>
          </w:p>
        </w:tc>
        <w:tc>
          <w:tcPr>
            <w:tcW w:w="6662" w:type="dxa"/>
            <w:noWrap/>
            <w:vAlign w:val="center"/>
          </w:tcPr>
          <w:p w:rsidR="00027CB3" w:rsidRDefault="00027CB3" w:rsidP="00027CB3">
            <w:pPr>
              <w:pStyle w:val="a7"/>
              <w:spacing w:line="360" w:lineRule="auto"/>
              <w:ind w:firstLine="420"/>
              <w:rPr>
                <w:color w:val="000000"/>
              </w:rPr>
            </w:pPr>
            <w:r>
              <w:rPr>
                <w:rFonts w:hint="eastAsia"/>
                <w:color w:val="000000"/>
              </w:rPr>
              <w:t>金鹰元盛债券型发起式证券投资基金（LOF）E类份额</w:t>
            </w:r>
          </w:p>
        </w:tc>
      </w:tr>
      <w:tr w:rsidR="00027CB3" w:rsidRPr="004636F5" w:rsidTr="00E1030D">
        <w:trPr>
          <w:trHeight w:val="330"/>
        </w:trPr>
        <w:tc>
          <w:tcPr>
            <w:tcW w:w="1526" w:type="dxa"/>
            <w:noWrap/>
            <w:vAlign w:val="center"/>
          </w:tcPr>
          <w:p w:rsidR="00027CB3" w:rsidRDefault="00027CB3" w:rsidP="00027CB3">
            <w:pPr>
              <w:pStyle w:val="a7"/>
              <w:spacing w:line="360" w:lineRule="auto"/>
              <w:ind w:firstLine="420"/>
              <w:rPr>
                <w:color w:val="000000"/>
              </w:rPr>
            </w:pPr>
            <w:r>
              <w:rPr>
                <w:rFonts w:hint="eastAsia"/>
                <w:color w:val="000000"/>
              </w:rPr>
              <w:t>004372</w:t>
            </w:r>
          </w:p>
        </w:tc>
        <w:tc>
          <w:tcPr>
            <w:tcW w:w="6662" w:type="dxa"/>
            <w:noWrap/>
            <w:vAlign w:val="center"/>
          </w:tcPr>
          <w:p w:rsidR="00027CB3" w:rsidRDefault="00027CB3" w:rsidP="00027CB3">
            <w:pPr>
              <w:pStyle w:val="a7"/>
              <w:spacing w:line="360" w:lineRule="auto"/>
              <w:ind w:firstLine="420"/>
              <w:rPr>
                <w:color w:val="000000"/>
              </w:rPr>
            </w:pPr>
            <w:r>
              <w:rPr>
                <w:rFonts w:hint="eastAsia"/>
                <w:color w:val="000000"/>
              </w:rPr>
              <w:t>金鹰现金增益交易型货币市场基金A类份额</w:t>
            </w:r>
          </w:p>
        </w:tc>
      </w:tr>
      <w:tr w:rsidR="00027CB3" w:rsidRPr="004636F5" w:rsidTr="00E1030D">
        <w:trPr>
          <w:trHeight w:val="330"/>
        </w:trPr>
        <w:tc>
          <w:tcPr>
            <w:tcW w:w="1526" w:type="dxa"/>
            <w:noWrap/>
            <w:vAlign w:val="center"/>
          </w:tcPr>
          <w:p w:rsidR="00027CB3" w:rsidRPr="00FB497E" w:rsidRDefault="00027CB3" w:rsidP="00027CB3">
            <w:pPr>
              <w:pStyle w:val="a7"/>
              <w:spacing w:line="360" w:lineRule="auto"/>
              <w:ind w:firstLine="420"/>
              <w:rPr>
                <w:color w:val="000000"/>
                <w:highlight w:val="yellow"/>
              </w:rPr>
            </w:pPr>
            <w:r>
              <w:rPr>
                <w:rFonts w:hint="eastAsia"/>
                <w:color w:val="000000"/>
              </w:rPr>
              <w:t>004373</w:t>
            </w:r>
          </w:p>
        </w:tc>
        <w:tc>
          <w:tcPr>
            <w:tcW w:w="6662" w:type="dxa"/>
            <w:noWrap/>
            <w:vAlign w:val="center"/>
          </w:tcPr>
          <w:p w:rsidR="00027CB3" w:rsidRPr="00FB497E" w:rsidRDefault="00027CB3" w:rsidP="00027CB3">
            <w:pPr>
              <w:pStyle w:val="a7"/>
              <w:spacing w:line="360" w:lineRule="auto"/>
              <w:ind w:firstLine="420"/>
              <w:rPr>
                <w:color w:val="000000"/>
                <w:highlight w:val="yellow"/>
              </w:rPr>
            </w:pPr>
            <w:r>
              <w:rPr>
                <w:rFonts w:hint="eastAsia"/>
                <w:color w:val="000000"/>
              </w:rPr>
              <w:t>金鹰现金增益交易型货币市场基金B类份额</w:t>
            </w:r>
          </w:p>
        </w:tc>
      </w:tr>
    </w:tbl>
    <w:p w:rsidR="00A00AAF" w:rsidRPr="009877A4" w:rsidRDefault="009877A4" w:rsidP="009974A3">
      <w:pPr>
        <w:pStyle w:val="Default"/>
        <w:snapToGrid w:val="0"/>
        <w:spacing w:line="360" w:lineRule="auto"/>
        <w:ind w:firstLineChars="200" w:firstLine="480"/>
        <w:jc w:val="both"/>
        <w:rPr>
          <w:rFonts w:ascii="宋体" w:eastAsia="宋体" w:hAnsi="宋体" w:cs="Calibri"/>
          <w:color w:val="auto"/>
        </w:rPr>
      </w:pPr>
      <w:r w:rsidRPr="009877A4">
        <w:rPr>
          <w:rFonts w:ascii="宋体" w:eastAsia="宋体" w:hAnsi="宋体" w:cs="Calibri" w:hint="eastAsia"/>
          <w:color w:val="auto"/>
        </w:rPr>
        <w:t xml:space="preserve">  </w:t>
      </w:r>
    </w:p>
    <w:p w:rsidR="0004705D" w:rsidRDefault="00DB229B"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lastRenderedPageBreak/>
        <w:t>二、</w:t>
      </w:r>
      <w:r w:rsidR="00AF76F6" w:rsidRPr="00AF76F6">
        <w:rPr>
          <w:rFonts w:asciiTheme="minorEastAsia" w:eastAsiaTheme="minorEastAsia" w:hAnsiTheme="minorEastAsia" w:cstheme="minorEastAsia" w:hint="eastAsia"/>
          <w:color w:val="000000" w:themeColor="text1"/>
        </w:rPr>
        <w:t>投资者可在</w:t>
      </w:r>
      <w:r w:rsidR="007F065F">
        <w:rPr>
          <w:rFonts w:asciiTheme="minorEastAsia" w:eastAsiaTheme="minorEastAsia" w:hAnsiTheme="minorEastAsia" w:cstheme="minorEastAsia" w:hint="eastAsia"/>
          <w:color w:val="000000" w:themeColor="text1"/>
        </w:rPr>
        <w:t>东莞证券</w:t>
      </w:r>
      <w:r w:rsidR="00AF76F6" w:rsidRPr="00AF76F6">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r>
        <w:rPr>
          <w:rFonts w:asciiTheme="minorEastAsia" w:hAnsiTheme="minorEastAsia" w:cstheme="minorEastAsia" w:hint="eastAsia"/>
          <w:color w:val="000000" w:themeColor="text1"/>
        </w:rPr>
        <w:t>。</w:t>
      </w:r>
    </w:p>
    <w:p w:rsidR="002C772D" w:rsidRPr="002C772D" w:rsidRDefault="002C772D"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E7053C" w:rsidRDefault="00E7053C"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896204" w:rsidRDefault="00027CB3"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1</w:t>
      </w:r>
      <w:r w:rsidR="00896204">
        <w:rPr>
          <w:rFonts w:asciiTheme="minorEastAsia" w:eastAsiaTheme="minorEastAsia" w:hAnsiTheme="minorEastAsia" w:cstheme="minorEastAsia" w:hint="eastAsia"/>
          <w:color w:val="000000" w:themeColor="text1"/>
        </w:rPr>
        <w:t>、</w:t>
      </w:r>
      <w:r w:rsidR="00896204" w:rsidRPr="00896204">
        <w:rPr>
          <w:rFonts w:asciiTheme="minorEastAsia" w:eastAsiaTheme="minorEastAsia" w:hAnsiTheme="minorEastAsia" w:cstheme="minorEastAsia" w:hint="eastAsia"/>
          <w:color w:val="000000" w:themeColor="text1"/>
        </w:rPr>
        <w:t>投资者在赎回（含转换转出）金鹰民族新兴灵活配置混合型证券投资基金份额时，本基金管理人将对每笔基金份额年化收益率超过</w:t>
      </w:r>
      <w:r w:rsidR="00896204" w:rsidRPr="009162D0">
        <w:rPr>
          <w:rFonts w:hint="eastAsia"/>
          <w:color w:val="000000"/>
        </w:rPr>
        <w:t>5</w:t>
      </w:r>
      <w:r w:rsidR="00896204" w:rsidRPr="00896204">
        <w:rPr>
          <w:rFonts w:asciiTheme="minorEastAsia" w:eastAsiaTheme="minorEastAsia" w:hAnsiTheme="minorEastAsia" w:cstheme="minorEastAsia" w:hint="eastAsia"/>
          <w:color w:val="000000" w:themeColor="text1"/>
        </w:rPr>
        <w:t>%的部分，按15%的比例计提附加管理费，有关附加管理费收取原则与计提方法的约定详见《基金合同》或《招募说明书》</w:t>
      </w:r>
      <w:r w:rsidR="00896204">
        <w:rPr>
          <w:rFonts w:asciiTheme="minorEastAsia" w:eastAsiaTheme="minorEastAsia" w:hAnsiTheme="minorEastAsia" w:cstheme="minorEastAsia" w:hint="eastAsia"/>
          <w:color w:val="000000" w:themeColor="text1"/>
        </w:rPr>
        <w:t>。</w:t>
      </w:r>
    </w:p>
    <w:p w:rsidR="0028120E" w:rsidRDefault="00027CB3"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2</w:t>
      </w:r>
      <w:r w:rsidR="008B2268">
        <w:rPr>
          <w:rFonts w:asciiTheme="minorEastAsia" w:eastAsiaTheme="minorEastAsia" w:hAnsiTheme="minorEastAsia" w:cstheme="minorEastAsia" w:hint="eastAsia"/>
          <w:color w:val="000000" w:themeColor="text1"/>
        </w:rPr>
        <w:t>、</w:t>
      </w:r>
      <w:r w:rsidR="0028120E">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8120E" w:rsidRDefault="00027CB3"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3</w:t>
      </w:r>
      <w:r w:rsidR="0028120E">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、转换不适用基金：对于本基金管理人后端收费模式基金以及中登系统基金不支持与其他基金之间相互转换；对于同一只基金不同份额之间不支持相互转换。</w:t>
      </w:r>
    </w:p>
    <w:p w:rsidR="0028120E" w:rsidRDefault="00027CB3" w:rsidP="0086084A">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sidR="0028120E">
        <w:rPr>
          <w:rFonts w:asciiTheme="minorEastAsia" w:eastAsiaTheme="minorEastAsia" w:hAnsiTheme="minorEastAsia" w:cstheme="minorEastAsia" w:hint="eastAsia"/>
          <w:color w:val="000000" w:themeColor="text1"/>
        </w:rPr>
        <w:t>、本基金管理人旗下基金在</w:t>
      </w:r>
      <w:r w:rsidR="007F065F">
        <w:rPr>
          <w:rFonts w:asciiTheme="minorEastAsia" w:eastAsiaTheme="minorEastAsia" w:hAnsiTheme="minorEastAsia" w:cstheme="minorEastAsia" w:hint="eastAsia"/>
          <w:color w:val="000000" w:themeColor="text1"/>
        </w:rPr>
        <w:t>东莞证券</w:t>
      </w:r>
      <w:r w:rsidR="0028120E">
        <w:rPr>
          <w:rFonts w:asciiTheme="minorEastAsia" w:eastAsiaTheme="minorEastAsia" w:hAnsiTheme="minorEastAsia" w:cstheme="minorEastAsia" w:hint="eastAsia"/>
          <w:color w:val="000000" w:themeColor="text1"/>
        </w:rPr>
        <w:t>的申购、定投费率折扣最低不低</w:t>
      </w:r>
      <w:r w:rsidR="0028120E" w:rsidRPr="00AA60FF">
        <w:rPr>
          <w:rFonts w:asciiTheme="minorEastAsia" w:eastAsiaTheme="minorEastAsia" w:hAnsiTheme="minorEastAsia" w:cstheme="minorEastAsia" w:hint="eastAsia"/>
          <w:color w:val="000000" w:themeColor="text1"/>
        </w:rPr>
        <w:t>于1折，</w:t>
      </w:r>
      <w:r w:rsidR="007F065F">
        <w:rPr>
          <w:rFonts w:asciiTheme="minorEastAsia" w:eastAsiaTheme="minorEastAsia" w:hAnsiTheme="minorEastAsia" w:cstheme="minorEastAsia" w:hint="eastAsia"/>
          <w:color w:val="000000" w:themeColor="text1"/>
        </w:rPr>
        <w:t>东莞证券</w:t>
      </w:r>
      <w:r w:rsidR="0028120E">
        <w:rPr>
          <w:rFonts w:asciiTheme="minorEastAsia" w:eastAsiaTheme="minorEastAsia" w:hAnsiTheme="minorEastAsia" w:cstheme="minorEastAsia" w:hint="eastAsia"/>
          <w:color w:val="000000" w:themeColor="text1"/>
        </w:rPr>
        <w:t>在此基础上实施的费率优惠活动本基金管理人不再进行限制，投资者通过</w:t>
      </w:r>
      <w:r w:rsidR="007F065F">
        <w:rPr>
          <w:rFonts w:asciiTheme="minorEastAsia" w:eastAsiaTheme="minorEastAsia" w:hAnsiTheme="minorEastAsia" w:cstheme="minorEastAsia" w:hint="eastAsia"/>
          <w:color w:val="000000" w:themeColor="text1"/>
        </w:rPr>
        <w:t>东莞证券</w:t>
      </w:r>
      <w:r w:rsidR="0028120E">
        <w:rPr>
          <w:rFonts w:asciiTheme="minorEastAsia" w:eastAsiaTheme="minorEastAsia" w:hAnsiTheme="minorEastAsia" w:cstheme="minorEastAsia" w:hint="eastAsia"/>
          <w:color w:val="000000" w:themeColor="text1"/>
        </w:rPr>
        <w:t>申购、定投本基金管理人旗下适用基金（仅限前端收费模式），其申购、定投费率以</w:t>
      </w:r>
      <w:r w:rsidR="007F065F">
        <w:rPr>
          <w:rFonts w:asciiTheme="minorEastAsia" w:eastAsiaTheme="minorEastAsia" w:hAnsiTheme="minorEastAsia" w:cstheme="minorEastAsia" w:hint="eastAsia"/>
          <w:color w:val="000000" w:themeColor="text1"/>
        </w:rPr>
        <w:t>东莞证券</w:t>
      </w:r>
      <w:r w:rsidR="0028120E">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Default="00027CB3"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5</w:t>
      </w:r>
      <w:r w:rsidR="0028120E">
        <w:rPr>
          <w:rFonts w:asciiTheme="minorEastAsia" w:eastAsiaTheme="minorEastAsia" w:hAnsiTheme="minorEastAsia" w:cstheme="minorEastAsia" w:hint="eastAsia"/>
          <w:color w:val="000000" w:themeColor="text1"/>
        </w:rPr>
        <w:t>、本基金管理人其他基金如新增</w:t>
      </w:r>
      <w:r w:rsidR="007F065F">
        <w:rPr>
          <w:rFonts w:hint="eastAsia"/>
        </w:rPr>
        <w:t>东莞证券</w:t>
      </w:r>
      <w:r w:rsidR="0028120E">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28120E" w:rsidRPr="00DB229B" w:rsidRDefault="0028120E"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0B1AB2" w:rsidRPr="00876DE6" w:rsidRDefault="009877A4" w:rsidP="000B1AB2">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7F065F">
        <w:rPr>
          <w:rFonts w:cs="Calibri" w:hint="eastAsia"/>
        </w:rPr>
        <w:t>东莞证券</w:t>
      </w:r>
    </w:p>
    <w:p w:rsidR="006928B4" w:rsidRPr="006928B4" w:rsidRDefault="006928B4" w:rsidP="006928B4">
      <w:pPr>
        <w:pStyle w:val="a7"/>
        <w:shd w:val="clear" w:color="auto" w:fill="FFFFFF"/>
        <w:adjustRightInd w:val="0"/>
        <w:snapToGrid w:val="0"/>
        <w:spacing w:before="0" w:beforeAutospacing="0" w:after="0" w:afterAutospacing="0" w:line="360" w:lineRule="auto"/>
        <w:ind w:firstLine="420"/>
        <w:jc w:val="both"/>
        <w:rPr>
          <w:rFonts w:cs="Calibri"/>
        </w:rPr>
      </w:pPr>
      <w:r w:rsidRPr="006928B4">
        <w:rPr>
          <w:rFonts w:cs="Calibri" w:hint="eastAsia"/>
        </w:rPr>
        <w:t>客服电话：</w:t>
      </w:r>
      <w:r w:rsidR="007F065F" w:rsidRPr="007F065F">
        <w:t>95328</w:t>
      </w:r>
    </w:p>
    <w:p w:rsidR="005A54A0" w:rsidRPr="005A54A0" w:rsidRDefault="006928B4" w:rsidP="006928B4">
      <w:pPr>
        <w:pStyle w:val="a7"/>
        <w:shd w:val="clear" w:color="auto" w:fill="FFFFFF"/>
        <w:adjustRightInd w:val="0"/>
        <w:snapToGrid w:val="0"/>
        <w:spacing w:before="0" w:beforeAutospacing="0" w:after="0" w:afterAutospacing="0" w:line="360" w:lineRule="auto"/>
        <w:ind w:firstLine="420"/>
        <w:jc w:val="both"/>
        <w:rPr>
          <w:rFonts w:cs="Calibri"/>
        </w:rPr>
      </w:pPr>
      <w:r w:rsidRPr="006928B4">
        <w:rPr>
          <w:rFonts w:cs="Calibri" w:hint="eastAsia"/>
        </w:rPr>
        <w:t>网址：</w:t>
      </w:r>
      <w:r w:rsidR="007F065F" w:rsidRPr="007F065F">
        <w:t>www.dgzq.com.cn</w:t>
      </w:r>
    </w:p>
    <w:p w:rsidR="00A00AAF" w:rsidRPr="009877A4" w:rsidRDefault="00163302">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2</w:t>
      </w:r>
      <w:r w:rsidR="009877A4" w:rsidRPr="009877A4">
        <w:rPr>
          <w:rFonts w:cs="Calibri" w:hint="eastAsia"/>
        </w:rPr>
        <w:t>、</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D0018E" w:rsidRDefault="009877A4" w:rsidP="00D0018E">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E7053C">
      <w:pPr>
        <w:pStyle w:val="a7"/>
        <w:shd w:val="clear" w:color="auto" w:fill="FFFFFF"/>
        <w:adjustRightInd w:val="0"/>
        <w:snapToGrid w:val="0"/>
        <w:spacing w:before="0" w:beforeAutospacing="0" w:after="0" w:afterAutospacing="0" w:line="360" w:lineRule="auto"/>
        <w:ind w:firstLine="420"/>
        <w:jc w:val="both"/>
        <w:rPr>
          <w:rFonts w:cs="Calibri"/>
        </w:rPr>
      </w:pPr>
      <w:r w:rsidRPr="00987CED">
        <w:rPr>
          <w:rFonts w:asciiTheme="minorEastAsia" w:eastAsiaTheme="minorEastAsia" w:hAnsiTheme="minorEastAsia" w:cstheme="minorEastAsia" w:hint="eastAsia"/>
          <w:color w:val="000000" w:themeColor="text1"/>
        </w:rPr>
        <w:lastRenderedPageBreak/>
        <w:t>风险提示：本基金管理人承诺以诚实信用、勤勉尽责的原则管理和运用基金资产。</w:t>
      </w:r>
      <w:r w:rsidR="00BE3FA2" w:rsidRPr="00BE3FA2">
        <w:rPr>
          <w:rFonts w:asciiTheme="minorEastAsia" w:eastAsiaTheme="minorEastAsia" w:hAnsiTheme="minorEastAsia" w:cstheme="minorEastAsia" w:hint="eastAsia"/>
          <w:color w:val="000000" w:themeColor="text1"/>
        </w:rPr>
        <w:t>投资者购买货币市场基金并不等于将资金作为存款存放在银行或存款类金融机构，</w:t>
      </w:r>
      <w:r w:rsidR="001245CA" w:rsidRPr="001245CA">
        <w:rPr>
          <w:rFonts w:asciiTheme="minorEastAsia" w:eastAsiaTheme="minorEastAsia" w:hAnsiTheme="minorEastAsia" w:cstheme="minorEastAsia" w:hint="eastAsia"/>
          <w:color w:val="000000" w:themeColor="text1"/>
        </w:rPr>
        <w:t>本基金管理人不保证基金一定盈利，也不保证最低收益。</w:t>
      </w:r>
      <w:r w:rsidRPr="00987CED">
        <w:rPr>
          <w:rFonts w:asciiTheme="minorEastAsia" w:eastAsiaTheme="minorEastAsia" w:hAnsiTheme="minorEastAsia" w:cstheme="minorEastAsia" w:hint="eastAsia"/>
          <w:color w:val="000000" w:themeColor="text1"/>
        </w:rPr>
        <w:t>中国证监会对基金募集的注册</w:t>
      </w:r>
      <w:r w:rsidR="007424F2">
        <w:rPr>
          <w:rFonts w:asciiTheme="minorEastAsia" w:eastAsiaTheme="minorEastAsia" w:hAnsiTheme="minorEastAsia" w:cstheme="minorEastAsia" w:hint="eastAsia"/>
          <w:color w:val="000000" w:themeColor="text1"/>
        </w:rPr>
        <w:t>或核准</w:t>
      </w:r>
      <w:r w:rsidRPr="00987CED">
        <w:rPr>
          <w:rFonts w:asciiTheme="minorEastAsia" w:eastAsiaTheme="minorEastAsia" w:hAnsiTheme="minorEastAsia" w:cstheme="minorEastAsia" w:hint="eastAsia"/>
          <w:color w:val="000000" w:themeColor="text1"/>
        </w:rPr>
        <w:t>，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w:t>
      </w:r>
      <w:r>
        <w:rPr>
          <w:rFonts w:cs="Calibri" w:hint="eastAsia"/>
        </w:rPr>
        <w:t>《基金</w:t>
      </w:r>
      <w:r w:rsidRPr="00BC7D60">
        <w:rPr>
          <w:rFonts w:cs="Calibri" w:hint="eastAsia"/>
        </w:rPr>
        <w:t>产品资料概要</w:t>
      </w:r>
      <w:r>
        <w:rPr>
          <w:rFonts w:cs="Calibri" w:hint="eastAsia"/>
        </w:rPr>
        <w:t>》</w:t>
      </w:r>
      <w:r w:rsidRPr="00987CED">
        <w:rPr>
          <w:rFonts w:asciiTheme="minorEastAsia" w:eastAsiaTheme="minorEastAsia" w:hAnsiTheme="minorEastAsia" w:cstheme="minorEastAsia" w:hint="eastAsia"/>
          <w:color w:val="000000" w:themeColor="text1"/>
        </w:rPr>
        <w:t>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r w:rsidR="009877A4" w:rsidRPr="009877A4">
        <w:rPr>
          <w:rFonts w:cs="Calibri" w:hint="eastAsia"/>
        </w:rPr>
        <w:t> </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特此公告。</w:t>
      </w:r>
    </w:p>
    <w:p w:rsidR="004A47C9" w:rsidRPr="009877A4" w:rsidRDefault="004A47C9" w:rsidP="006447C3">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5E5033" w:rsidP="00F73AF8">
      <w:pPr>
        <w:pStyle w:val="a7"/>
        <w:shd w:val="clear" w:color="auto" w:fill="FFFFFF"/>
        <w:adjustRightInd w:val="0"/>
        <w:snapToGrid w:val="0"/>
        <w:spacing w:before="0" w:beforeAutospacing="0" w:after="0" w:afterAutospacing="0" w:line="360" w:lineRule="auto"/>
        <w:ind w:firstLine="420"/>
        <w:jc w:val="right"/>
        <w:rPr>
          <w:rFonts w:cs="Calibri"/>
        </w:rPr>
      </w:pPr>
      <w:r>
        <w:rPr>
          <w:rFonts w:cs="Calibri" w:hint="eastAsia"/>
        </w:rPr>
        <w:t>202</w:t>
      </w:r>
      <w:r w:rsidR="00E34D91">
        <w:rPr>
          <w:rFonts w:cs="Calibri"/>
        </w:rPr>
        <w:t>2</w:t>
      </w:r>
      <w:r w:rsidR="009877A4" w:rsidRPr="009877A4">
        <w:rPr>
          <w:rFonts w:cs="Calibri" w:hint="eastAsia"/>
        </w:rPr>
        <w:t>年</w:t>
      </w:r>
      <w:r w:rsidR="00ED5A58">
        <w:rPr>
          <w:rFonts w:cs="Calibri"/>
        </w:rPr>
        <w:t>5</w:t>
      </w:r>
      <w:r w:rsidR="009877A4" w:rsidRPr="009877A4">
        <w:rPr>
          <w:rFonts w:cs="Calibri" w:hint="eastAsia"/>
        </w:rPr>
        <w:t>月</w:t>
      </w:r>
      <w:r w:rsidR="00ED5A58">
        <w:rPr>
          <w:rFonts w:cs="Calibri"/>
        </w:rPr>
        <w:t>5</w:t>
      </w:r>
      <w:r w:rsidR="009877A4" w:rsidRPr="009877A4">
        <w:rPr>
          <w:rFonts w:cs="Calibri" w:hint="eastAsia"/>
        </w:rPr>
        <w:t>日</w:t>
      </w:r>
    </w:p>
    <w:sectPr w:rsidR="00A00AAF" w:rsidRPr="009877A4" w:rsidSect="003578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5BF" w:rsidRDefault="00DA15BF" w:rsidP="00E3201D">
      <w:r>
        <w:separator/>
      </w:r>
    </w:p>
  </w:endnote>
  <w:endnote w:type="continuationSeparator" w:id="0">
    <w:p w:rsidR="00DA15BF" w:rsidRDefault="00DA15BF"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5BF" w:rsidRDefault="00DA15BF" w:rsidP="00E3201D">
      <w:r>
        <w:separator/>
      </w:r>
    </w:p>
  </w:footnote>
  <w:footnote w:type="continuationSeparator" w:id="0">
    <w:p w:rsidR="00DA15BF" w:rsidRDefault="00DA15BF"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5907"/>
    <w:rsid w:val="00025F3D"/>
    <w:rsid w:val="00027CB3"/>
    <w:rsid w:val="0004705D"/>
    <w:rsid w:val="00050C91"/>
    <w:rsid w:val="0007668C"/>
    <w:rsid w:val="0009331A"/>
    <w:rsid w:val="000B1AB2"/>
    <w:rsid w:val="000D170F"/>
    <w:rsid w:val="000E10B7"/>
    <w:rsid w:val="000E7D3C"/>
    <w:rsid w:val="000F4744"/>
    <w:rsid w:val="001039C4"/>
    <w:rsid w:val="00112143"/>
    <w:rsid w:val="00112272"/>
    <w:rsid w:val="00120FA7"/>
    <w:rsid w:val="001245CA"/>
    <w:rsid w:val="00126069"/>
    <w:rsid w:val="001267F7"/>
    <w:rsid w:val="00142F9B"/>
    <w:rsid w:val="001545AA"/>
    <w:rsid w:val="00156402"/>
    <w:rsid w:val="00163302"/>
    <w:rsid w:val="00172A27"/>
    <w:rsid w:val="00175014"/>
    <w:rsid w:val="0018431F"/>
    <w:rsid w:val="00196156"/>
    <w:rsid w:val="001B433C"/>
    <w:rsid w:val="001C22C6"/>
    <w:rsid w:val="001C33FC"/>
    <w:rsid w:val="001E7BBF"/>
    <w:rsid w:val="002000F3"/>
    <w:rsid w:val="00204212"/>
    <w:rsid w:val="002173DE"/>
    <w:rsid w:val="002344DC"/>
    <w:rsid w:val="002351F6"/>
    <w:rsid w:val="00263DB2"/>
    <w:rsid w:val="00266540"/>
    <w:rsid w:val="0026767D"/>
    <w:rsid w:val="0028120E"/>
    <w:rsid w:val="00293ED1"/>
    <w:rsid w:val="002A228B"/>
    <w:rsid w:val="002B1024"/>
    <w:rsid w:val="002B1557"/>
    <w:rsid w:val="002B3132"/>
    <w:rsid w:val="002B32BC"/>
    <w:rsid w:val="002B4142"/>
    <w:rsid w:val="002B6B49"/>
    <w:rsid w:val="002C28DF"/>
    <w:rsid w:val="002C547F"/>
    <w:rsid w:val="002C5740"/>
    <w:rsid w:val="002C63BA"/>
    <w:rsid w:val="002C772D"/>
    <w:rsid w:val="00317240"/>
    <w:rsid w:val="00336D66"/>
    <w:rsid w:val="00347AA1"/>
    <w:rsid w:val="00347FF3"/>
    <w:rsid w:val="0035327E"/>
    <w:rsid w:val="003578C1"/>
    <w:rsid w:val="003622CD"/>
    <w:rsid w:val="00364825"/>
    <w:rsid w:val="00372758"/>
    <w:rsid w:val="003811F5"/>
    <w:rsid w:val="003816A3"/>
    <w:rsid w:val="00390CB1"/>
    <w:rsid w:val="003C4285"/>
    <w:rsid w:val="003C7AEC"/>
    <w:rsid w:val="003D2696"/>
    <w:rsid w:val="003D3C4C"/>
    <w:rsid w:val="003E168F"/>
    <w:rsid w:val="003F276E"/>
    <w:rsid w:val="00420793"/>
    <w:rsid w:val="0043356C"/>
    <w:rsid w:val="00445F84"/>
    <w:rsid w:val="00447446"/>
    <w:rsid w:val="004511C4"/>
    <w:rsid w:val="00453E39"/>
    <w:rsid w:val="00473033"/>
    <w:rsid w:val="004840C8"/>
    <w:rsid w:val="004944A3"/>
    <w:rsid w:val="00495292"/>
    <w:rsid w:val="004A05F5"/>
    <w:rsid w:val="004A0E27"/>
    <w:rsid w:val="004A1B5A"/>
    <w:rsid w:val="004A363A"/>
    <w:rsid w:val="004A47C9"/>
    <w:rsid w:val="004B1512"/>
    <w:rsid w:val="004B636A"/>
    <w:rsid w:val="004B7B90"/>
    <w:rsid w:val="004C26F2"/>
    <w:rsid w:val="004C5102"/>
    <w:rsid w:val="004D0845"/>
    <w:rsid w:val="004E2142"/>
    <w:rsid w:val="004E32AC"/>
    <w:rsid w:val="00500661"/>
    <w:rsid w:val="00504054"/>
    <w:rsid w:val="00506924"/>
    <w:rsid w:val="00522178"/>
    <w:rsid w:val="00534398"/>
    <w:rsid w:val="00540E09"/>
    <w:rsid w:val="0055048C"/>
    <w:rsid w:val="00566D76"/>
    <w:rsid w:val="005670F1"/>
    <w:rsid w:val="005706A4"/>
    <w:rsid w:val="0059003D"/>
    <w:rsid w:val="005901D5"/>
    <w:rsid w:val="005973D4"/>
    <w:rsid w:val="005A54A0"/>
    <w:rsid w:val="005B1B58"/>
    <w:rsid w:val="005B7934"/>
    <w:rsid w:val="005D7D33"/>
    <w:rsid w:val="005E5033"/>
    <w:rsid w:val="005F0540"/>
    <w:rsid w:val="00614DC0"/>
    <w:rsid w:val="00620652"/>
    <w:rsid w:val="00627EE6"/>
    <w:rsid w:val="00631BBC"/>
    <w:rsid w:val="00636821"/>
    <w:rsid w:val="006434F1"/>
    <w:rsid w:val="006447C3"/>
    <w:rsid w:val="00646793"/>
    <w:rsid w:val="006554A2"/>
    <w:rsid w:val="00665EFB"/>
    <w:rsid w:val="00680493"/>
    <w:rsid w:val="00691BF4"/>
    <w:rsid w:val="006928B4"/>
    <w:rsid w:val="006D717C"/>
    <w:rsid w:val="0070267D"/>
    <w:rsid w:val="00712D07"/>
    <w:rsid w:val="0072741B"/>
    <w:rsid w:val="00734FEB"/>
    <w:rsid w:val="007424F2"/>
    <w:rsid w:val="00743A13"/>
    <w:rsid w:val="00767674"/>
    <w:rsid w:val="00786DAF"/>
    <w:rsid w:val="0079226C"/>
    <w:rsid w:val="00793190"/>
    <w:rsid w:val="00796EAD"/>
    <w:rsid w:val="007B26E1"/>
    <w:rsid w:val="007C4602"/>
    <w:rsid w:val="007D5EB4"/>
    <w:rsid w:val="007E2426"/>
    <w:rsid w:val="007E46F3"/>
    <w:rsid w:val="007F065F"/>
    <w:rsid w:val="007F166F"/>
    <w:rsid w:val="007F31CD"/>
    <w:rsid w:val="007F42E4"/>
    <w:rsid w:val="0082536C"/>
    <w:rsid w:val="0082716F"/>
    <w:rsid w:val="008512B8"/>
    <w:rsid w:val="0086084A"/>
    <w:rsid w:val="00860E1D"/>
    <w:rsid w:val="00864CDD"/>
    <w:rsid w:val="008769F5"/>
    <w:rsid w:val="0088224E"/>
    <w:rsid w:val="00882A09"/>
    <w:rsid w:val="008919C0"/>
    <w:rsid w:val="00896204"/>
    <w:rsid w:val="008A01A0"/>
    <w:rsid w:val="008A27AD"/>
    <w:rsid w:val="008A29CE"/>
    <w:rsid w:val="008A7B4F"/>
    <w:rsid w:val="008B0A9C"/>
    <w:rsid w:val="008B2268"/>
    <w:rsid w:val="008B2C05"/>
    <w:rsid w:val="008B7C7A"/>
    <w:rsid w:val="008D7493"/>
    <w:rsid w:val="008E589A"/>
    <w:rsid w:val="008F5130"/>
    <w:rsid w:val="00916226"/>
    <w:rsid w:val="009162D0"/>
    <w:rsid w:val="00941216"/>
    <w:rsid w:val="00953E06"/>
    <w:rsid w:val="0096184E"/>
    <w:rsid w:val="009633B5"/>
    <w:rsid w:val="00963A12"/>
    <w:rsid w:val="00965497"/>
    <w:rsid w:val="009877A4"/>
    <w:rsid w:val="009974A3"/>
    <w:rsid w:val="009A5E81"/>
    <w:rsid w:val="009B7508"/>
    <w:rsid w:val="009D5A96"/>
    <w:rsid w:val="009F38CE"/>
    <w:rsid w:val="00A00AAF"/>
    <w:rsid w:val="00A0278D"/>
    <w:rsid w:val="00A46BE9"/>
    <w:rsid w:val="00A522B4"/>
    <w:rsid w:val="00A70945"/>
    <w:rsid w:val="00A81E34"/>
    <w:rsid w:val="00AA60FF"/>
    <w:rsid w:val="00AD4BE8"/>
    <w:rsid w:val="00AD6E8D"/>
    <w:rsid w:val="00AF1A2D"/>
    <w:rsid w:val="00AF76F6"/>
    <w:rsid w:val="00B0516D"/>
    <w:rsid w:val="00B07FE4"/>
    <w:rsid w:val="00B336E6"/>
    <w:rsid w:val="00B632AB"/>
    <w:rsid w:val="00B679FB"/>
    <w:rsid w:val="00B72B4F"/>
    <w:rsid w:val="00B80061"/>
    <w:rsid w:val="00B85DD2"/>
    <w:rsid w:val="00B975FE"/>
    <w:rsid w:val="00BB0D06"/>
    <w:rsid w:val="00BB1148"/>
    <w:rsid w:val="00BB477F"/>
    <w:rsid w:val="00BB5BDE"/>
    <w:rsid w:val="00BC2167"/>
    <w:rsid w:val="00BC38F5"/>
    <w:rsid w:val="00BC5516"/>
    <w:rsid w:val="00BC560B"/>
    <w:rsid w:val="00BC7D60"/>
    <w:rsid w:val="00BD01CC"/>
    <w:rsid w:val="00BE1FB8"/>
    <w:rsid w:val="00BE3FA2"/>
    <w:rsid w:val="00BF6A07"/>
    <w:rsid w:val="00C06005"/>
    <w:rsid w:val="00C27637"/>
    <w:rsid w:val="00C40AB2"/>
    <w:rsid w:val="00C43622"/>
    <w:rsid w:val="00C51529"/>
    <w:rsid w:val="00C52FB1"/>
    <w:rsid w:val="00C5608E"/>
    <w:rsid w:val="00C873A7"/>
    <w:rsid w:val="00CA1413"/>
    <w:rsid w:val="00CA2869"/>
    <w:rsid w:val="00CA36CF"/>
    <w:rsid w:val="00CA3B8C"/>
    <w:rsid w:val="00CA62D2"/>
    <w:rsid w:val="00CA73E7"/>
    <w:rsid w:val="00CD2771"/>
    <w:rsid w:val="00CD57F0"/>
    <w:rsid w:val="00CE0062"/>
    <w:rsid w:val="00D0018E"/>
    <w:rsid w:val="00D04E30"/>
    <w:rsid w:val="00D31DE1"/>
    <w:rsid w:val="00D33EA3"/>
    <w:rsid w:val="00D61B38"/>
    <w:rsid w:val="00D61C64"/>
    <w:rsid w:val="00D81E13"/>
    <w:rsid w:val="00D861DB"/>
    <w:rsid w:val="00D90F6C"/>
    <w:rsid w:val="00DA15BF"/>
    <w:rsid w:val="00DA199C"/>
    <w:rsid w:val="00DA5245"/>
    <w:rsid w:val="00DB229B"/>
    <w:rsid w:val="00DB3A6F"/>
    <w:rsid w:val="00DB40C6"/>
    <w:rsid w:val="00DC079C"/>
    <w:rsid w:val="00DC4CB3"/>
    <w:rsid w:val="00DC5262"/>
    <w:rsid w:val="00DC7DCB"/>
    <w:rsid w:val="00DD24CD"/>
    <w:rsid w:val="00DF7CC2"/>
    <w:rsid w:val="00E03423"/>
    <w:rsid w:val="00E13E9E"/>
    <w:rsid w:val="00E14296"/>
    <w:rsid w:val="00E22DBA"/>
    <w:rsid w:val="00E26862"/>
    <w:rsid w:val="00E3201D"/>
    <w:rsid w:val="00E34D91"/>
    <w:rsid w:val="00E365D5"/>
    <w:rsid w:val="00E57911"/>
    <w:rsid w:val="00E64940"/>
    <w:rsid w:val="00E7053C"/>
    <w:rsid w:val="00E723F9"/>
    <w:rsid w:val="00E778B5"/>
    <w:rsid w:val="00E87CD2"/>
    <w:rsid w:val="00E913ED"/>
    <w:rsid w:val="00EA1F68"/>
    <w:rsid w:val="00EA60E4"/>
    <w:rsid w:val="00EA695E"/>
    <w:rsid w:val="00EA7DD1"/>
    <w:rsid w:val="00EB0CE1"/>
    <w:rsid w:val="00EB3208"/>
    <w:rsid w:val="00EC64A9"/>
    <w:rsid w:val="00ED5A58"/>
    <w:rsid w:val="00EE5CF0"/>
    <w:rsid w:val="00EE68E6"/>
    <w:rsid w:val="00EF16AD"/>
    <w:rsid w:val="00F061A9"/>
    <w:rsid w:val="00F134FE"/>
    <w:rsid w:val="00F14BCF"/>
    <w:rsid w:val="00F23E9A"/>
    <w:rsid w:val="00F26FBC"/>
    <w:rsid w:val="00F31BC6"/>
    <w:rsid w:val="00F3272C"/>
    <w:rsid w:val="00F33B64"/>
    <w:rsid w:val="00F53580"/>
    <w:rsid w:val="00F55EE7"/>
    <w:rsid w:val="00F624D8"/>
    <w:rsid w:val="00F73AF8"/>
    <w:rsid w:val="00F8346B"/>
    <w:rsid w:val="00F84E1C"/>
    <w:rsid w:val="00F92C9B"/>
    <w:rsid w:val="00FA3C34"/>
    <w:rsid w:val="00FB497E"/>
    <w:rsid w:val="00FC0836"/>
    <w:rsid w:val="00FE15E6"/>
    <w:rsid w:val="00FE28BD"/>
    <w:rsid w:val="00FE3862"/>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8C1"/>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3578C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578C1"/>
    <w:pPr>
      <w:jc w:val="left"/>
    </w:pPr>
  </w:style>
  <w:style w:type="paragraph" w:styleId="a4">
    <w:name w:val="Balloon Text"/>
    <w:basedOn w:val="a"/>
    <w:link w:val="Char0"/>
    <w:uiPriority w:val="99"/>
    <w:semiHidden/>
    <w:unhideWhenUsed/>
    <w:qFormat/>
    <w:rsid w:val="003578C1"/>
    <w:rPr>
      <w:sz w:val="18"/>
      <w:szCs w:val="18"/>
    </w:rPr>
  </w:style>
  <w:style w:type="paragraph" w:styleId="a5">
    <w:name w:val="footer"/>
    <w:basedOn w:val="a"/>
    <w:link w:val="Char1"/>
    <w:uiPriority w:val="99"/>
    <w:unhideWhenUsed/>
    <w:qFormat/>
    <w:rsid w:val="003578C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578C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3578C1"/>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3578C1"/>
    <w:rPr>
      <w:b/>
      <w:bCs/>
    </w:rPr>
  </w:style>
  <w:style w:type="table" w:styleId="a9">
    <w:name w:val="Table Grid"/>
    <w:basedOn w:val="a1"/>
    <w:uiPriority w:val="59"/>
    <w:qFormat/>
    <w:rsid w:val="003578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3578C1"/>
    <w:rPr>
      <w:color w:val="4C4C4C"/>
      <w:u w:val="none"/>
    </w:rPr>
  </w:style>
  <w:style w:type="character" w:styleId="ab">
    <w:name w:val="Emphasis"/>
    <w:basedOn w:val="a0"/>
    <w:uiPriority w:val="20"/>
    <w:qFormat/>
    <w:rsid w:val="003578C1"/>
  </w:style>
  <w:style w:type="character" w:styleId="HTML">
    <w:name w:val="HTML Acronym"/>
    <w:basedOn w:val="a0"/>
    <w:uiPriority w:val="99"/>
    <w:semiHidden/>
    <w:unhideWhenUsed/>
    <w:qFormat/>
    <w:rsid w:val="003578C1"/>
  </w:style>
  <w:style w:type="character" w:styleId="ac">
    <w:name w:val="Hyperlink"/>
    <w:basedOn w:val="a0"/>
    <w:uiPriority w:val="99"/>
    <w:unhideWhenUsed/>
    <w:qFormat/>
    <w:rsid w:val="003578C1"/>
    <w:rPr>
      <w:color w:val="0000FF"/>
      <w:u w:val="single"/>
    </w:rPr>
  </w:style>
  <w:style w:type="character" w:styleId="ad">
    <w:name w:val="annotation reference"/>
    <w:basedOn w:val="a0"/>
    <w:uiPriority w:val="99"/>
    <w:semiHidden/>
    <w:unhideWhenUsed/>
    <w:qFormat/>
    <w:rsid w:val="003578C1"/>
    <w:rPr>
      <w:sz w:val="21"/>
      <w:szCs w:val="21"/>
    </w:rPr>
  </w:style>
  <w:style w:type="character" w:customStyle="1" w:styleId="3Char">
    <w:name w:val="标题 3 Char"/>
    <w:basedOn w:val="a0"/>
    <w:link w:val="3"/>
    <w:uiPriority w:val="9"/>
    <w:qFormat/>
    <w:rsid w:val="003578C1"/>
    <w:rPr>
      <w:rFonts w:ascii="宋体" w:eastAsia="宋体" w:hAnsi="宋体" w:cs="宋体"/>
      <w:b/>
      <w:bCs/>
      <w:kern w:val="0"/>
      <w:sz w:val="27"/>
      <w:szCs w:val="27"/>
    </w:rPr>
  </w:style>
  <w:style w:type="character" w:customStyle="1" w:styleId="span4">
    <w:name w:val="span4"/>
    <w:basedOn w:val="a0"/>
    <w:qFormat/>
    <w:rsid w:val="003578C1"/>
  </w:style>
  <w:style w:type="character" w:customStyle="1" w:styleId="span01">
    <w:name w:val="span01"/>
    <w:basedOn w:val="a0"/>
    <w:qFormat/>
    <w:rsid w:val="003578C1"/>
    <w:rPr>
      <w:sz w:val="24"/>
      <w:szCs w:val="24"/>
    </w:rPr>
  </w:style>
  <w:style w:type="character" w:customStyle="1" w:styleId="icon2">
    <w:name w:val="icon2"/>
    <w:basedOn w:val="a0"/>
    <w:qFormat/>
    <w:rsid w:val="003578C1"/>
  </w:style>
  <w:style w:type="character" w:customStyle="1" w:styleId="fqrsyliswk">
    <w:name w:val="fqrsyl_iswk"/>
    <w:basedOn w:val="a0"/>
    <w:qFormat/>
    <w:rsid w:val="003578C1"/>
  </w:style>
  <w:style w:type="character" w:customStyle="1" w:styleId="span03">
    <w:name w:val="span03"/>
    <w:basedOn w:val="a0"/>
    <w:qFormat/>
    <w:rsid w:val="003578C1"/>
  </w:style>
  <w:style w:type="character" w:customStyle="1" w:styleId="span031">
    <w:name w:val="span031"/>
    <w:basedOn w:val="a0"/>
    <w:qFormat/>
    <w:rsid w:val="003578C1"/>
  </w:style>
  <w:style w:type="character" w:customStyle="1" w:styleId="fmwfsyiswk">
    <w:name w:val="fmwfsy_iswk"/>
    <w:basedOn w:val="a0"/>
    <w:qFormat/>
    <w:rsid w:val="003578C1"/>
  </w:style>
  <w:style w:type="character" w:customStyle="1" w:styleId="span1">
    <w:name w:val="span1"/>
    <w:basedOn w:val="a0"/>
    <w:qFormat/>
    <w:rsid w:val="003578C1"/>
  </w:style>
  <w:style w:type="character" w:customStyle="1" w:styleId="span2">
    <w:name w:val="span2"/>
    <w:basedOn w:val="a0"/>
    <w:qFormat/>
    <w:rsid w:val="003578C1"/>
  </w:style>
  <w:style w:type="character" w:customStyle="1" w:styleId="hover46">
    <w:name w:val="hover46"/>
    <w:basedOn w:val="a0"/>
    <w:qFormat/>
    <w:rsid w:val="003578C1"/>
    <w:rPr>
      <w:shd w:val="clear" w:color="auto" w:fill="FEF2E7"/>
    </w:rPr>
  </w:style>
  <w:style w:type="character" w:customStyle="1" w:styleId="hover47">
    <w:name w:val="hover47"/>
    <w:basedOn w:val="a0"/>
    <w:qFormat/>
    <w:rsid w:val="003578C1"/>
    <w:rPr>
      <w:color w:val="F88413"/>
    </w:rPr>
  </w:style>
  <w:style w:type="character" w:customStyle="1" w:styleId="span02">
    <w:name w:val="span02"/>
    <w:basedOn w:val="a0"/>
    <w:qFormat/>
    <w:rsid w:val="003578C1"/>
    <w:rPr>
      <w:sz w:val="24"/>
      <w:szCs w:val="24"/>
    </w:rPr>
  </w:style>
  <w:style w:type="character" w:customStyle="1" w:styleId="span021">
    <w:name w:val="span021"/>
    <w:basedOn w:val="a0"/>
    <w:qFormat/>
    <w:rsid w:val="003578C1"/>
  </w:style>
  <w:style w:type="character" w:customStyle="1" w:styleId="on26">
    <w:name w:val="on26"/>
    <w:basedOn w:val="a0"/>
    <w:qFormat/>
    <w:rsid w:val="003578C1"/>
    <w:rPr>
      <w:color w:val="F88413"/>
    </w:rPr>
  </w:style>
  <w:style w:type="character" w:customStyle="1" w:styleId="on27">
    <w:name w:val="on27"/>
    <w:basedOn w:val="a0"/>
    <w:qFormat/>
    <w:rsid w:val="003578C1"/>
  </w:style>
  <w:style w:type="character" w:customStyle="1" w:styleId="span3">
    <w:name w:val="span3"/>
    <w:basedOn w:val="a0"/>
    <w:qFormat/>
    <w:rsid w:val="003578C1"/>
  </w:style>
  <w:style w:type="character" w:customStyle="1" w:styleId="span011">
    <w:name w:val="span011"/>
    <w:basedOn w:val="a0"/>
    <w:qFormat/>
    <w:rsid w:val="003578C1"/>
  </w:style>
  <w:style w:type="character" w:customStyle="1" w:styleId="icon">
    <w:name w:val="icon"/>
    <w:basedOn w:val="a0"/>
    <w:qFormat/>
    <w:rsid w:val="003578C1"/>
  </w:style>
  <w:style w:type="character" w:customStyle="1" w:styleId="hover44">
    <w:name w:val="hover44"/>
    <w:basedOn w:val="a0"/>
    <w:qFormat/>
    <w:rsid w:val="003578C1"/>
    <w:rPr>
      <w:shd w:val="clear" w:color="auto" w:fill="FEF2E7"/>
    </w:rPr>
  </w:style>
  <w:style w:type="character" w:customStyle="1" w:styleId="hover45">
    <w:name w:val="hover45"/>
    <w:basedOn w:val="a0"/>
    <w:qFormat/>
    <w:rsid w:val="003578C1"/>
    <w:rPr>
      <w:color w:val="F88413"/>
    </w:rPr>
  </w:style>
  <w:style w:type="character" w:customStyle="1" w:styleId="on">
    <w:name w:val="on"/>
    <w:basedOn w:val="a0"/>
    <w:qFormat/>
    <w:rsid w:val="003578C1"/>
    <w:rPr>
      <w:color w:val="F88413"/>
    </w:rPr>
  </w:style>
  <w:style w:type="character" w:customStyle="1" w:styleId="on1">
    <w:name w:val="on1"/>
    <w:basedOn w:val="a0"/>
    <w:qFormat/>
    <w:rsid w:val="003578C1"/>
  </w:style>
  <w:style w:type="character" w:customStyle="1" w:styleId="Char2">
    <w:name w:val="页眉 Char"/>
    <w:basedOn w:val="a0"/>
    <w:link w:val="a6"/>
    <w:uiPriority w:val="99"/>
    <w:qFormat/>
    <w:rsid w:val="003578C1"/>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3578C1"/>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3578C1"/>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3578C1"/>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3578C1"/>
    <w:rPr>
      <w:rFonts w:asciiTheme="minorHAnsi" w:eastAsiaTheme="minorEastAsia" w:hAnsiTheme="minorHAnsi" w:cstheme="minorBidi"/>
      <w:kern w:val="2"/>
      <w:sz w:val="18"/>
      <w:szCs w:val="18"/>
    </w:rPr>
  </w:style>
  <w:style w:type="character" w:customStyle="1" w:styleId="hover43">
    <w:name w:val="hover43"/>
    <w:basedOn w:val="a0"/>
    <w:qFormat/>
    <w:rsid w:val="003578C1"/>
    <w:rPr>
      <w:color w:val="F88413"/>
    </w:rPr>
  </w:style>
  <w:style w:type="paragraph" w:customStyle="1" w:styleId="Default">
    <w:name w:val="Default"/>
    <w:qFormat/>
    <w:rsid w:val="003578C1"/>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3578C1"/>
    <w:rPr>
      <w:color w:val="F88413"/>
    </w:rPr>
  </w:style>
  <w:style w:type="character" w:customStyle="1" w:styleId="hover1">
    <w:name w:val="hover1"/>
    <w:basedOn w:val="a0"/>
    <w:qFormat/>
    <w:rsid w:val="003578C1"/>
    <w:rPr>
      <w:shd w:val="clear" w:color="auto" w:fill="FEF2E7"/>
    </w:rPr>
  </w:style>
  <w:style w:type="character" w:customStyle="1" w:styleId="hover42">
    <w:name w:val="hover42"/>
    <w:basedOn w:val="a0"/>
    <w:qFormat/>
    <w:rsid w:val="003578C1"/>
    <w:rPr>
      <w:shd w:val="clear" w:color="auto" w:fill="FEF2E7"/>
    </w:rPr>
  </w:style>
  <w:style w:type="character" w:customStyle="1" w:styleId="on3">
    <w:name w:val="on3"/>
    <w:basedOn w:val="a0"/>
    <w:qFormat/>
    <w:rsid w:val="003578C1"/>
  </w:style>
  <w:style w:type="character" w:customStyle="1" w:styleId="on4">
    <w:name w:val="on4"/>
    <w:basedOn w:val="a0"/>
    <w:qFormat/>
    <w:rsid w:val="003578C1"/>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94345963">
      <w:bodyDiv w:val="1"/>
      <w:marLeft w:val="0"/>
      <w:marRight w:val="0"/>
      <w:marTop w:val="0"/>
      <w:marBottom w:val="0"/>
      <w:divBdr>
        <w:top w:val="none" w:sz="0" w:space="0" w:color="auto"/>
        <w:left w:val="none" w:sz="0" w:space="0" w:color="auto"/>
        <w:bottom w:val="none" w:sz="0" w:space="0" w:color="auto"/>
        <w:right w:val="none" w:sz="0" w:space="0" w:color="auto"/>
      </w:divBdr>
    </w:div>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88518239">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476845420">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095787020">
      <w:bodyDiv w:val="1"/>
      <w:marLeft w:val="0"/>
      <w:marRight w:val="0"/>
      <w:marTop w:val="0"/>
      <w:marBottom w:val="0"/>
      <w:divBdr>
        <w:top w:val="none" w:sz="0" w:space="0" w:color="auto"/>
        <w:left w:val="none" w:sz="0" w:space="0" w:color="auto"/>
        <w:bottom w:val="none" w:sz="0" w:space="0" w:color="auto"/>
        <w:right w:val="none" w:sz="0" w:space="0" w:color="auto"/>
      </w:divBdr>
    </w:div>
    <w:div w:id="1233807826">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2672B7-A9C3-427A-8E16-2F6B131C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1651</Characters>
  <Application>Microsoft Office Word</Application>
  <DocSecurity>4</DocSecurity>
  <Lines>13</Lines>
  <Paragraphs>3</Paragraphs>
  <ScaleCrop>false</ScaleCrop>
  <Company>Microsoft</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2020-12-23T05:38:00Z</cp:lastPrinted>
  <dcterms:created xsi:type="dcterms:W3CDTF">2022-05-04T16:02:00Z</dcterms:created>
  <dcterms:modified xsi:type="dcterms:W3CDTF">2022-05-04T16:02:00Z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