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C83525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易方达核心优势股票型证券投资基金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5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9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日暂停申购、赎回、转换及定期定额投资业务的公告</w:t>
      </w:r>
    </w:p>
    <w:p w:rsidR="00CF4FFE" w:rsidRPr="00FC4FF1" w:rsidRDefault="00C83525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Pr="00FC4FF1">
        <w:rPr>
          <w:rFonts w:asciiTheme="majorEastAsia" w:eastAsiaTheme="majorEastAsia" w:hAnsiTheme="majorEastAsia" w:hint="eastAsia"/>
          <w:b/>
          <w:sz w:val="24"/>
        </w:rPr>
        <w:t>2022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Pr="00FC4FF1">
        <w:rPr>
          <w:rFonts w:asciiTheme="majorEastAsia" w:eastAsiaTheme="majorEastAsia" w:hAnsiTheme="majorEastAsia" w:hint="eastAsia"/>
          <w:b/>
          <w:sz w:val="24"/>
        </w:rPr>
        <w:t>4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Pr="00FC4FF1">
        <w:rPr>
          <w:rFonts w:asciiTheme="majorEastAsia" w:eastAsiaTheme="majorEastAsia" w:hAnsiTheme="majorEastAsia" w:hint="eastAsia"/>
          <w:b/>
          <w:sz w:val="24"/>
        </w:rPr>
        <w:t>29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RDefault="00C83525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</w:t>
      </w:r>
      <w:r w:rsidRPr="008C2033"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34133E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易方达核心优势股票型证券投资基金</w:t>
            </w:r>
          </w:p>
        </w:tc>
      </w:tr>
      <w:tr w:rsidR="0034133E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C83525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C83525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010196</w:t>
            </w:r>
          </w:p>
        </w:tc>
      </w:tr>
      <w:tr w:rsidR="0034133E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34133E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《公开募集证券投资基金信息披露管理办法》、《易方达核心优势股票型证券投资基金基金合同》、《易方达核心优势股票型证券投资基金更新的招募说明书》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日为港股通非交易日。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日为港股通交易日。</w:t>
            </w:r>
          </w:p>
        </w:tc>
      </w:tr>
      <w:tr w:rsidR="0034133E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34133E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010196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010197</w:t>
            </w:r>
          </w:p>
        </w:tc>
      </w:tr>
      <w:tr w:rsidR="0034133E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该分级基金是否暂停申购、转换转入、赎回、转换转出、定期定额投资</w:t>
            </w:r>
            <w:bookmarkStart w:id="1" w:name="_GoBack"/>
            <w:bookmarkEnd w:id="1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C8352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RDefault="00132D7F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C83525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RDefault="00C83525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lastRenderedPageBreak/>
        <w:t xml:space="preserve">(1)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若港股通交易日安排发生变化，易方达核心优势股票型证券投资基金（以下简称“本基金”）管理人将进行相应调整并公告。</w:t>
      </w:r>
    </w:p>
    <w:p w:rsidR="00CF4FFE" w:rsidRDefault="00C83525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CF4FFE" w:rsidRDefault="00C83525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www.efunds.com.cn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C83525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400 881 8088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C83525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C83525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C83525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29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3E" w:rsidRDefault="0034133E" w:rsidP="0034133E">
      <w:r>
        <w:separator/>
      </w:r>
    </w:p>
  </w:endnote>
  <w:endnote w:type="continuationSeparator" w:id="0">
    <w:p w:rsidR="0034133E" w:rsidRDefault="0034133E" w:rsidP="0034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34133E" w:rsidP="00B120A5">
    <w:pPr>
      <w:pStyle w:val="a4"/>
      <w:jc w:val="center"/>
    </w:pPr>
    <w:r>
      <w:rPr>
        <w:rStyle w:val="a5"/>
      </w:rPr>
      <w:fldChar w:fldCharType="begin"/>
    </w:r>
    <w:r w:rsidR="00C8352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8352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3E" w:rsidRDefault="0034133E" w:rsidP="0034133E">
      <w:r>
        <w:separator/>
      </w:r>
    </w:p>
  </w:footnote>
  <w:footnote w:type="continuationSeparator" w:id="0">
    <w:p w:rsidR="0034133E" w:rsidRDefault="0034133E" w:rsidP="0034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C8352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C8352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133E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83525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2/wordml" xmlns:ns7="http://schemas.microsoft.com/office/word/2010/wordprocessingDrawing" xmlns:ns6="http://schemas.openxmlformats.org/drawingml/2006/main" xmlns:ns5="http://schemas.openxmlformats.org/drawingml/2006/wordprocessingDrawing" xmlns:ns4="http://schemas.microsoft.com/office/word/2010/wordml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openxmlformats.org/officeDocument/2006/math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4</DocSecurity>
  <Lines>7</Lines>
  <Paragraphs>2</Paragraphs>
  <ScaleCrop>false</ScaleCrop>
  <Company>E FUND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ZHONGM</cp:lastModifiedBy>
  <cp:revision>2</cp:revision>
  <dcterms:created xsi:type="dcterms:W3CDTF">2022-04-28T16:07:00Z</dcterms:created>
  <dcterms:modified xsi:type="dcterms:W3CDTF">2022-04-28T16:07:00Z</dcterms:modified>
</cp:coreProperties>
</file>