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1F" w:rsidRPr="00EA4CD5" w:rsidRDefault="00951E6D" w:rsidP="00951E6D">
      <w:pPr>
        <w:spacing w:line="360" w:lineRule="auto"/>
        <w:jc w:val="center"/>
        <w:rPr>
          <w:rFonts w:asciiTheme="minorEastAsia" w:hAnsiTheme="minorEastAsia"/>
          <w:b/>
          <w:sz w:val="28"/>
          <w:szCs w:val="24"/>
        </w:rPr>
      </w:pPr>
      <w:r w:rsidRPr="00EA4CD5">
        <w:rPr>
          <w:rFonts w:asciiTheme="minorEastAsia" w:hAnsiTheme="minorEastAsia"/>
          <w:b/>
          <w:sz w:val="28"/>
          <w:szCs w:val="24"/>
        </w:rPr>
        <w:t>汇添富基金管理股份有限公司关于在</w:t>
      </w:r>
      <w:r w:rsidR="005116A7">
        <w:rPr>
          <w:rFonts w:asciiTheme="minorEastAsia" w:hAnsiTheme="minorEastAsia" w:hint="eastAsia"/>
          <w:b/>
          <w:sz w:val="28"/>
          <w:szCs w:val="24"/>
        </w:rPr>
        <w:t>直销中心</w:t>
      </w:r>
      <w:r w:rsidRPr="00EA4CD5">
        <w:rPr>
          <w:rFonts w:asciiTheme="minorEastAsia" w:hAnsiTheme="minorEastAsia"/>
          <w:b/>
          <w:sz w:val="28"/>
          <w:szCs w:val="24"/>
        </w:rPr>
        <w:t>开通旗下部分基金</w:t>
      </w:r>
      <w:r w:rsidRPr="00EA4CD5">
        <w:rPr>
          <w:rFonts w:asciiTheme="minorEastAsia" w:hAnsiTheme="minorEastAsia" w:hint="eastAsia"/>
          <w:b/>
          <w:sz w:val="28"/>
          <w:szCs w:val="24"/>
        </w:rPr>
        <w:t>跨TA转换业务的公告</w:t>
      </w:r>
    </w:p>
    <w:p w:rsidR="00951E6D" w:rsidRPr="00EA4CD5" w:rsidRDefault="00951E6D" w:rsidP="00951E6D">
      <w:pPr>
        <w:spacing w:line="360" w:lineRule="auto"/>
        <w:ind w:firstLineChars="200" w:firstLine="480"/>
        <w:rPr>
          <w:rFonts w:asciiTheme="minorEastAsia" w:hAnsiTheme="minorEastAsia"/>
          <w:sz w:val="24"/>
          <w:szCs w:val="24"/>
        </w:rPr>
      </w:pPr>
      <w:r w:rsidRPr="00EA4CD5">
        <w:rPr>
          <w:rFonts w:asciiTheme="minorEastAsia" w:hAnsiTheme="minorEastAsia" w:hint="eastAsia"/>
          <w:color w:val="1E1E1E"/>
          <w:sz w:val="24"/>
          <w:szCs w:val="24"/>
        </w:rPr>
        <w:t>为满足广大投资者的理财需求，汇添富基金管理股份有限公司（以下简称“</w:t>
      </w:r>
      <w:r w:rsidR="00A953BC" w:rsidRPr="00EA4CD5">
        <w:rPr>
          <w:rFonts w:asciiTheme="minorEastAsia" w:hAnsiTheme="minorEastAsia" w:hint="eastAsia"/>
          <w:color w:val="1E1E1E"/>
          <w:sz w:val="24"/>
          <w:szCs w:val="24"/>
        </w:rPr>
        <w:t>本</w:t>
      </w:r>
      <w:r w:rsidR="00182D42" w:rsidRPr="00EA4CD5">
        <w:rPr>
          <w:rFonts w:asciiTheme="minorEastAsia" w:hAnsiTheme="minorEastAsia" w:hint="eastAsia"/>
          <w:color w:val="1E1E1E"/>
          <w:sz w:val="24"/>
          <w:szCs w:val="24"/>
        </w:rPr>
        <w:t>公司</w:t>
      </w:r>
      <w:r w:rsidRPr="00EA4CD5">
        <w:rPr>
          <w:rFonts w:asciiTheme="minorEastAsia" w:hAnsiTheme="minorEastAsia" w:hint="eastAsia"/>
          <w:color w:val="1E1E1E"/>
          <w:sz w:val="24"/>
          <w:szCs w:val="24"/>
        </w:rPr>
        <w:t>”）决定自</w:t>
      </w:r>
      <w:r w:rsidR="00C96339" w:rsidRPr="00EA4CD5">
        <w:rPr>
          <w:rFonts w:asciiTheme="minorEastAsia" w:hAnsiTheme="minorEastAsia" w:hint="eastAsia"/>
          <w:color w:val="1E1E1E"/>
          <w:sz w:val="24"/>
          <w:szCs w:val="24"/>
        </w:rPr>
        <w:t>202</w:t>
      </w:r>
      <w:r w:rsidR="00C96339">
        <w:rPr>
          <w:rFonts w:asciiTheme="minorEastAsia" w:hAnsiTheme="minorEastAsia"/>
          <w:color w:val="1E1E1E"/>
          <w:sz w:val="24"/>
          <w:szCs w:val="24"/>
        </w:rPr>
        <w:t>2</w:t>
      </w:r>
      <w:r w:rsidR="005116A7" w:rsidRPr="00EA4CD5">
        <w:rPr>
          <w:rFonts w:asciiTheme="minorEastAsia" w:hAnsiTheme="minorEastAsia" w:hint="eastAsia"/>
          <w:color w:val="1E1E1E"/>
          <w:sz w:val="24"/>
          <w:szCs w:val="24"/>
        </w:rPr>
        <w:t>年</w:t>
      </w:r>
      <w:r w:rsidR="00C96339">
        <w:rPr>
          <w:rFonts w:asciiTheme="minorEastAsia" w:hAnsiTheme="minorEastAsia"/>
          <w:color w:val="1E1E1E"/>
          <w:sz w:val="24"/>
          <w:szCs w:val="24"/>
        </w:rPr>
        <w:t>4</w:t>
      </w:r>
      <w:r w:rsidRPr="00EA4CD5">
        <w:rPr>
          <w:rFonts w:asciiTheme="minorEastAsia" w:hAnsiTheme="minorEastAsia" w:hint="eastAsia"/>
          <w:color w:val="1E1E1E"/>
          <w:sz w:val="24"/>
          <w:szCs w:val="24"/>
        </w:rPr>
        <w:t>月</w:t>
      </w:r>
      <w:r w:rsidR="00C96339">
        <w:rPr>
          <w:rFonts w:asciiTheme="minorEastAsia" w:hAnsiTheme="minorEastAsia"/>
          <w:color w:val="1E1E1E"/>
          <w:sz w:val="24"/>
          <w:szCs w:val="24"/>
        </w:rPr>
        <w:t>28</w:t>
      </w:r>
      <w:r w:rsidRPr="00EA4CD5">
        <w:rPr>
          <w:rFonts w:asciiTheme="minorEastAsia" w:hAnsiTheme="minorEastAsia" w:hint="eastAsia"/>
          <w:color w:val="1E1E1E"/>
          <w:sz w:val="24"/>
          <w:szCs w:val="24"/>
        </w:rPr>
        <w:t>日起，在本公司</w:t>
      </w:r>
      <w:r w:rsidR="005116A7">
        <w:rPr>
          <w:rFonts w:asciiTheme="minorEastAsia" w:hAnsiTheme="minorEastAsia" w:hint="eastAsia"/>
          <w:color w:val="1E1E1E"/>
          <w:sz w:val="24"/>
          <w:szCs w:val="24"/>
        </w:rPr>
        <w:t>直销中心</w:t>
      </w:r>
      <w:r w:rsidRPr="00EA4CD5">
        <w:rPr>
          <w:rFonts w:asciiTheme="minorEastAsia" w:hAnsiTheme="minorEastAsia" w:hint="eastAsia"/>
          <w:sz w:val="24"/>
          <w:szCs w:val="24"/>
        </w:rPr>
        <w:t>开通旗下部分基金跨TA转换业务</w:t>
      </w:r>
      <w:r w:rsidR="00A953BC" w:rsidRPr="00EA4CD5">
        <w:rPr>
          <w:rFonts w:asciiTheme="minorEastAsia" w:hAnsiTheme="minorEastAsia" w:hint="eastAsia"/>
          <w:sz w:val="24"/>
          <w:szCs w:val="24"/>
        </w:rPr>
        <w:t>。</w:t>
      </w:r>
    </w:p>
    <w:p w:rsidR="00A953BC" w:rsidRPr="00EA4CD5" w:rsidRDefault="00A953BC" w:rsidP="00A953BC">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一、业务说明</w:t>
      </w:r>
    </w:p>
    <w:p w:rsidR="00A953BC" w:rsidRPr="00EA4CD5" w:rsidRDefault="00A953BC" w:rsidP="00A953BC">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基金转换是指基金份额持有人</w:t>
      </w:r>
      <w:r w:rsidR="00C24102" w:rsidRPr="00EA4CD5">
        <w:rPr>
          <w:rFonts w:asciiTheme="minorEastAsia" w:hAnsiTheme="minorEastAsia" w:hint="eastAsia"/>
          <w:color w:val="1E1E1E"/>
          <w:sz w:val="24"/>
          <w:szCs w:val="24"/>
        </w:rPr>
        <w:t>向基金管理人提出申请将其所持有的基金管理人管理的任一开放式基金（转出基金）的全部或部分基金份额转换为基金管理人管理的任何其他开放式基金（转入基金）的基金份额的行为。</w:t>
      </w:r>
    </w:p>
    <w:p w:rsidR="00C24102" w:rsidRPr="00EA4CD5" w:rsidRDefault="00A953BC" w:rsidP="00A953BC">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跨TA基金转换是指由同一基金管理人管理的、分别在中国证券登记结算有限责任公司与基金管理人进行注册登记的基金之间进行转换的业务。它是同一注册登记机构进行注册登记的基金之间转换的拓展功能。</w:t>
      </w:r>
    </w:p>
    <w:p w:rsidR="00A953BC" w:rsidRPr="00EA4CD5" w:rsidRDefault="00C24102" w:rsidP="00A953BC">
      <w:pPr>
        <w:spacing w:line="360" w:lineRule="auto"/>
        <w:ind w:firstLineChars="200" w:firstLine="480"/>
        <w:rPr>
          <w:rFonts w:asciiTheme="minorEastAsia" w:hAnsiTheme="minorEastAsia"/>
          <w:color w:val="1E1E1E"/>
          <w:sz w:val="24"/>
          <w:szCs w:val="24"/>
        </w:rPr>
      </w:pPr>
      <w:r w:rsidRPr="00EA4CD5">
        <w:rPr>
          <w:rFonts w:asciiTheme="minorEastAsia" w:hAnsiTheme="minorEastAsia"/>
          <w:color w:val="1E1E1E"/>
          <w:sz w:val="24"/>
          <w:szCs w:val="24"/>
        </w:rPr>
        <w:t>基金</w:t>
      </w:r>
      <w:r w:rsidR="00A953BC" w:rsidRPr="00EA4CD5">
        <w:rPr>
          <w:rFonts w:asciiTheme="minorEastAsia" w:hAnsiTheme="minorEastAsia" w:hint="eastAsia"/>
          <w:color w:val="1E1E1E"/>
          <w:sz w:val="24"/>
          <w:szCs w:val="24"/>
        </w:rPr>
        <w:t>转换规则遵从基金法律文件以及相关公告的规定。</w:t>
      </w:r>
    </w:p>
    <w:p w:rsidR="00C24102" w:rsidRPr="00EA4CD5" w:rsidRDefault="00C24102" w:rsidP="00A953BC">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二、适用基金范围</w:t>
      </w:r>
    </w:p>
    <w:p w:rsidR="00182D42" w:rsidRPr="00EA4CD5" w:rsidRDefault="00182D42" w:rsidP="00035E82">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本次开通</w:t>
      </w:r>
      <w:r w:rsidR="005116A7" w:rsidRPr="00EA4CD5">
        <w:rPr>
          <w:rFonts w:asciiTheme="minorEastAsia" w:hAnsiTheme="minorEastAsia" w:hint="eastAsia"/>
          <w:color w:val="1E1E1E"/>
          <w:sz w:val="24"/>
          <w:szCs w:val="24"/>
        </w:rPr>
        <w:t>本公司</w:t>
      </w:r>
      <w:r w:rsidR="005116A7">
        <w:rPr>
          <w:rFonts w:asciiTheme="minorEastAsia" w:hAnsiTheme="minorEastAsia" w:hint="eastAsia"/>
          <w:color w:val="1E1E1E"/>
          <w:sz w:val="24"/>
          <w:szCs w:val="24"/>
        </w:rPr>
        <w:t>直销中心</w:t>
      </w:r>
      <w:r w:rsidRPr="00EA4CD5">
        <w:rPr>
          <w:rFonts w:asciiTheme="minorEastAsia" w:hAnsiTheme="minorEastAsia"/>
          <w:sz w:val="24"/>
          <w:szCs w:val="24"/>
        </w:rPr>
        <w:t>跨</w:t>
      </w:r>
      <w:r w:rsidRPr="00EA4CD5">
        <w:rPr>
          <w:rFonts w:asciiTheme="minorEastAsia" w:hAnsiTheme="minorEastAsia" w:hint="eastAsia"/>
          <w:sz w:val="24"/>
          <w:szCs w:val="24"/>
        </w:rPr>
        <w:t>TA转换业务的基金列表如下。</w:t>
      </w:r>
      <w:r w:rsidR="00035E82" w:rsidRPr="00EA4CD5">
        <w:rPr>
          <w:rFonts w:asciiTheme="minorEastAsia" w:hAnsiTheme="minorEastAsia" w:hint="eastAsia"/>
          <w:color w:val="1E1E1E"/>
          <w:sz w:val="24"/>
          <w:szCs w:val="24"/>
        </w:rPr>
        <w:t>下述基金列表中，由基金管理人自行担任注册登记机构的基金可与注册登记在中国证券登记结算有限责任公司的基金相互转换。</w:t>
      </w:r>
    </w:p>
    <w:tbl>
      <w:tblPr>
        <w:tblStyle w:val="a3"/>
        <w:tblW w:w="9067" w:type="dxa"/>
        <w:tblLook w:val="04A0"/>
      </w:tblPr>
      <w:tblGrid>
        <w:gridCol w:w="674"/>
        <w:gridCol w:w="1212"/>
        <w:gridCol w:w="3071"/>
        <w:gridCol w:w="1559"/>
        <w:gridCol w:w="1276"/>
        <w:gridCol w:w="1275"/>
      </w:tblGrid>
      <w:tr w:rsidR="00F61F28" w:rsidRPr="002B61ED" w:rsidTr="00F61F28">
        <w:tc>
          <w:tcPr>
            <w:tcW w:w="674" w:type="dxa"/>
          </w:tcPr>
          <w:p w:rsidR="00F61F28" w:rsidRPr="00C25AE6" w:rsidRDefault="00F61F28" w:rsidP="00F61F28">
            <w:pPr>
              <w:jc w:val="center"/>
              <w:rPr>
                <w:rFonts w:asciiTheme="minorEastAsia" w:hAnsiTheme="minorEastAsia"/>
                <w:color w:val="1E1E1E"/>
                <w:szCs w:val="21"/>
              </w:rPr>
            </w:pPr>
            <w:bookmarkStart w:id="0" w:name="OLE_LINK1"/>
            <w:r w:rsidRPr="00C25AE6">
              <w:rPr>
                <w:rFonts w:asciiTheme="minorEastAsia" w:hAnsiTheme="minorEastAsia" w:hint="eastAsia"/>
                <w:color w:val="1E1E1E"/>
                <w:szCs w:val="21"/>
              </w:rPr>
              <w:t>序号</w:t>
            </w:r>
          </w:p>
        </w:tc>
        <w:tc>
          <w:tcPr>
            <w:tcW w:w="1212" w:type="dxa"/>
          </w:tcPr>
          <w:p w:rsidR="00F61F28" w:rsidRPr="00C25AE6" w:rsidRDefault="00F61F28" w:rsidP="00F61F28">
            <w:pPr>
              <w:jc w:val="center"/>
              <w:rPr>
                <w:rFonts w:asciiTheme="minorEastAsia" w:hAnsiTheme="minorEastAsia"/>
                <w:color w:val="1E1E1E"/>
                <w:szCs w:val="21"/>
              </w:rPr>
            </w:pPr>
            <w:r w:rsidRPr="00C25AE6">
              <w:rPr>
                <w:rFonts w:asciiTheme="minorEastAsia" w:hAnsiTheme="minorEastAsia" w:hint="eastAsia"/>
                <w:color w:val="1E1E1E"/>
                <w:szCs w:val="21"/>
              </w:rPr>
              <w:t>基金代码</w:t>
            </w:r>
          </w:p>
        </w:tc>
        <w:tc>
          <w:tcPr>
            <w:tcW w:w="3071" w:type="dxa"/>
          </w:tcPr>
          <w:p w:rsidR="00F61F28" w:rsidRPr="00C25AE6" w:rsidRDefault="00F61F28" w:rsidP="00F61F28">
            <w:pPr>
              <w:jc w:val="center"/>
              <w:rPr>
                <w:rFonts w:asciiTheme="minorEastAsia" w:hAnsiTheme="minorEastAsia"/>
                <w:color w:val="1E1E1E"/>
                <w:szCs w:val="21"/>
              </w:rPr>
            </w:pPr>
            <w:r w:rsidRPr="00C25AE6">
              <w:rPr>
                <w:rFonts w:asciiTheme="minorEastAsia" w:hAnsiTheme="minorEastAsia" w:hint="eastAsia"/>
                <w:color w:val="1E1E1E"/>
                <w:szCs w:val="21"/>
              </w:rPr>
              <w:t>基金简称</w:t>
            </w:r>
          </w:p>
        </w:tc>
        <w:tc>
          <w:tcPr>
            <w:tcW w:w="1559" w:type="dxa"/>
          </w:tcPr>
          <w:p w:rsidR="00F61F28" w:rsidRPr="00C25AE6" w:rsidRDefault="00F61F28" w:rsidP="00F61F28">
            <w:pPr>
              <w:jc w:val="center"/>
              <w:rPr>
                <w:rFonts w:asciiTheme="minorEastAsia" w:hAnsiTheme="minorEastAsia"/>
                <w:color w:val="1E1E1E"/>
                <w:szCs w:val="21"/>
              </w:rPr>
            </w:pPr>
            <w:r w:rsidRPr="00C25AE6">
              <w:rPr>
                <w:rFonts w:asciiTheme="minorEastAsia" w:hAnsiTheme="minorEastAsia" w:hint="eastAsia"/>
                <w:color w:val="1E1E1E"/>
                <w:szCs w:val="21"/>
              </w:rPr>
              <w:t>注册登记机构</w:t>
            </w:r>
          </w:p>
        </w:tc>
        <w:tc>
          <w:tcPr>
            <w:tcW w:w="1276" w:type="dxa"/>
          </w:tcPr>
          <w:p w:rsidR="00F61F28" w:rsidRPr="00C25AE6" w:rsidRDefault="00F61F28" w:rsidP="00F61F28">
            <w:pPr>
              <w:jc w:val="center"/>
              <w:rPr>
                <w:rFonts w:asciiTheme="minorEastAsia" w:hAnsiTheme="minorEastAsia"/>
                <w:color w:val="1E1E1E"/>
                <w:szCs w:val="21"/>
              </w:rPr>
            </w:pPr>
            <w:r w:rsidRPr="00EF3CFE">
              <w:rPr>
                <w:rFonts w:hint="eastAsia"/>
              </w:rPr>
              <w:t>是否开通</w:t>
            </w:r>
            <w:r>
              <w:rPr>
                <w:rFonts w:hint="eastAsia"/>
              </w:rPr>
              <w:t>转换</w:t>
            </w:r>
            <w:r w:rsidRPr="00EF3CFE">
              <w:rPr>
                <w:rFonts w:hint="eastAsia"/>
              </w:rPr>
              <w:t>转出</w:t>
            </w:r>
          </w:p>
        </w:tc>
        <w:tc>
          <w:tcPr>
            <w:tcW w:w="1275" w:type="dxa"/>
          </w:tcPr>
          <w:p w:rsidR="00F61F28" w:rsidRPr="00C25AE6" w:rsidRDefault="00F61F28" w:rsidP="00F61F28">
            <w:pPr>
              <w:jc w:val="center"/>
              <w:rPr>
                <w:rFonts w:asciiTheme="minorEastAsia" w:hAnsiTheme="minorEastAsia"/>
                <w:color w:val="1E1E1E"/>
                <w:szCs w:val="21"/>
              </w:rPr>
            </w:pPr>
            <w:r w:rsidRPr="00EF3CFE">
              <w:rPr>
                <w:rFonts w:hint="eastAsia"/>
              </w:rPr>
              <w:t>是否开通</w:t>
            </w:r>
            <w:r>
              <w:rPr>
                <w:rFonts w:hint="eastAsia"/>
              </w:rPr>
              <w:t>转换</w:t>
            </w:r>
            <w:r w:rsidRPr="00EF3CFE">
              <w:rPr>
                <w:rFonts w:hint="eastAsia"/>
              </w:rPr>
              <w:t>转入</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bookmarkStart w:id="1" w:name="_GoBack"/>
            <w:bookmarkEnd w:id="1"/>
            <w:r w:rsidRPr="00C25AE6">
              <w:rPr>
                <w:rFonts w:asciiTheme="minorEastAsia" w:hAnsiTheme="minorEastAsia" w:cs="Segoe UI"/>
                <w:color w:val="000000"/>
                <w:kern w:val="0"/>
                <w:szCs w:val="21"/>
              </w:rPr>
              <w:t>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000406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汇添富双利增强债券A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000407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汇添富双利增强债券C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000980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汇添富添富通货币B</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001796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汇添富安鑫智选混合A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002158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汇添富安鑫智选混合C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002418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汇添富优选回报混合C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002487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汇添富稳添利定期开放债券A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002488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汇添富稳添利定期开放债券C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004089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汇添富鑫瑞债券A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004090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汇添富鑫瑞债券C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004436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添富年年泰定开混合A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004437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添富年年泰定开混合C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004451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汇添富双鑫添利债券A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004452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汇添富双鑫添利债券C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004655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添富鑫汇定开债券A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lastRenderedPageBreak/>
              <w:t>16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004656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添富鑫汇定开债券C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005329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添富民安增益定开混合A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005330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添富民安增益定开混合C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006696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汇添富研究优选灵活配置混合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007456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汇添富90天短债A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007457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汇添富90天短债B</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007458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汇添富90天短债C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007868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汇添富汇鑫货币A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007869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汇添富汇鑫货币B</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008398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汇添富鑫福债</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009550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汇添富开放视野中国优势六个月持有股票A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009551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汇添富开放视野中国优势六个月持有股票C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009683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汇添富创新增长一年定开混合A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29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009684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汇添富创新增长一年定开混合C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010219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汇添富稳健添益一年持有混合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010298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汇添富品牌驱动六个月持有混合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010439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汇添富稳健汇盈一年持有混合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010480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汇添富稳进双盈一年持有混合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010481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汇添富高质量成长精选2年持有混合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010557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汇添富数字生活六个月持有混合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010599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汇添富高质量成长30一年持有混合A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010854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汇添富沪深300基本面增强指数A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010855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汇添富沪深300基本面增强指数C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39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010869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汇添富稳健欣享一年持有混合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010870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汇添富稳健鑫添益六个月持有混合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011021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汇添富互联网核心资产六个月持有混合A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011022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汇添富互联网核心资产六个月持有混合C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011118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汇添富稳健睿选一年持有混合A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011119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汇添富稳健睿选一年持有混合</w:t>
            </w:r>
            <w:r w:rsidRPr="00C25AE6">
              <w:rPr>
                <w:rFonts w:asciiTheme="minorEastAsia" w:hAnsiTheme="minorEastAsia" w:cs="Segoe UI" w:hint="eastAsia"/>
                <w:color w:val="000000"/>
                <w:kern w:val="0"/>
                <w:szCs w:val="21"/>
              </w:rPr>
              <w:lastRenderedPageBreak/>
              <w:t>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lastRenderedPageBreak/>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lastRenderedPageBreak/>
              <w:t>45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011122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汇添富ESG可持续成长股票A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011123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汇添富ESG可持续成长股票C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011259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汇添富高质量成长30一年持有混合C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011271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汇添富价值成长均衡投资混合A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011272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汇添富价值成长均衡投资混合C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011399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汇添富数字未来混合A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011400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汇添富数字未来混合C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011401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汇添富成长精选混合A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011402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汇添富成长精选混合C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011418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汇添富消费精选两年持有股票A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011419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汇添富消费精选两年持有股票C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011424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汇添富外延增长主题股票C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011562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汇添富稳健盈和一年持有混合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011597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汇添富多策略纯债E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011617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添富AAA级信用纯债E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011622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添富短债债券E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011623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汇添富中短债E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011658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汇添富中高等级信用债A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011659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汇添富中高等级信用债C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011660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汇添富中高等级信用债E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011665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汇添富数字经济引领发展三年持有混合A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011666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汇添富数字经济引领发展三年持有混合C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011681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汇添富均衡精选六个月持有混合A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011682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汇添富均衡精选六个月持有混合C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69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011826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汇添富健康生活一年持有混合A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011827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汇添富健康生活一年持有混合C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012155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汇添富成长先锋六个月持有混合A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012156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汇添富成长先锋六个月持有混合C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012157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汇添富上证50基本面增强指数A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012158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汇添富上证50基本面增强指数C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012459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汇添富稳健睿享一年持有混合A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012460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汇添富稳健睿享一年持有混合C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012498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汇添富中证500基本面增强指数A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012499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汇添富中证500基本面增强指数C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79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012574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汇添富稳利60天短债A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012575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汇添富稳利60天短债C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012596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汇添富中证800ETF联接A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012597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汇添富中证800ETF联接C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012607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汇添富保鑫灵活配置混合C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012694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汇添富国证生物医药ETF联接</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012695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汇添富国证生物医药ETF联接</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012789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汇添富双享回报债券A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012790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汇添富双享回报债券C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012820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汇添富价值领先混合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89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012830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汇添富货币E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012857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汇添富中证主要消费ETF联接C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012862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汇添富中证电池主题指数发起式A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012863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汇添富中证电池主题指数发起式C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012951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汇添富鑫享添利六个月持有混合A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012952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汇添富鑫享添利六个月持有混合C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012993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汇添富品牌力一年持有混合A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012994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汇添富品牌力一年持有混合C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013093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汇添富中证沪港深科技龙头指数发起式A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013094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汇添富中证沪港深科技龙头指数发起式C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99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013123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汇添富精选核心优势一年持有混合A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013124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汇添富精选核心优势一年持有混合C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013129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汇添富中证沪港深消费龙头指数发起A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013130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汇添富中证沪港深消费龙头指数发起C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013147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汇添富碳中和主题混合A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013148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汇添富碳中和主题混合C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013365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汇添富产业升级混合A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013366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汇添富产业升级混合C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013369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汇添富自主核心科技一年持有混合A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013370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汇添富自主核心科技一年持有混合C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109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013515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汇添富蓝筹稳健混合C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013516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汇添富蓝筹稳健混合E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013540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汇添富稳健睿享一年持有混合D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013550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汇添富品牌价值一年持有混合A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013551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汇添富品牌价值一年持有混合C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013552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汇添富成长领先混合A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013553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汇添富成长领先混合C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013814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汇添富稳鑫120天滚动持有债券A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013815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汇添富稳鑫120天滚动持有债券C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013816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汇添富中证光伏产业指数增强发起式A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119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013817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汇添富中证光伏产业指数增强发起式C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014193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汇添富中证芯片产业指数增强发起式A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014194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汇添富中证芯片产业指数增强发起式C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014218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汇添富中证科创创业50指数增强发起式A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014219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汇添富中证科创创业50指数增强发起式C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014279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汇添富北交所创新精选两年定开混合A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014280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汇添富北交所创新精选两年定开混合C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014508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汇添富先进制造混合A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014509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汇添富先进制造混合C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汇添富低碳投资一年持有混合A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129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汇添富低碳投资一年持有混合C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汇添富中盘潜力增长一年持有混合A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汇添富中盘潜力增长一年持有混合C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汇添富MSCI中国A50互联互通ETF联接A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014529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汇添富MSCI中国A50互联互通ETF联接C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汇添富稳福60天滚动持有中短债A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014595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汇添富稳福60天滚动持有中短债C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014596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汇添富稳福60天滚动持有中短债E</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014630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汇添富中证人工智能主题ETF联接A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014631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汇添富中证人工智能主题ETF联接C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139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014833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汇添富盈鑫混合C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014834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汇添富盈鑫混合D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014836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汇添富盈安灵活配置混合C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014837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汇添富盈安灵活配置混合D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汇添富高端制造股票C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汇添富高端制造股票D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汇添富大盘核心资产混合C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汇添富大盘核心资产混合D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汇添富沪港深大盘价值混合C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015119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汇添富沪港深大盘价值混合D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否</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149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015121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汇添富医疗服务灵活配置混合C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015122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汇添富医疗服务灵活配置混合D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015123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汇添富国企创新增长股票C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015124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汇添富国企创新增长股票D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015179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汇添富美丽30混合C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汇添富美丽30混合D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汇添富逆向投资混合C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汇添富逆向投资混合D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汇添富文体娱乐混合C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汇添富文体娱乐混合D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159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汇添富消费升级混合C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015188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汇添富消费升级混合D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015190</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汇添富行业整合混合C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汇添富行业整合混合D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015192</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汇添富社会责任混合C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汇添富社会责任混合D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汇添富新兴消费股票C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汇添富新兴消费股票D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汇添富智能制造股票C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汇添富智能制造股票D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169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汇添富移动互联股票C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015199</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汇添富移动互联股票D</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015225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汇添富中证细分化工产业主题指数增强发起式A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015226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汇添富中证细分化工产业主题指数增强发起式C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470021</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汇添富优选回报混合A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174</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471014</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汇添富理财14天债券B</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175</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472007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汇添富利率债</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176</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501057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汇添富中证新能源汽车产业指数（LOF）A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177</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501058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汇添富中证新能源汽车产业指数（LOF）C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178</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501063</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添富悦享定开混合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179</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501065</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汇添富经典成长定开混合</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180</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501188</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汇添富核心精选混合（LOF）</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181</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501206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汇添富创新未来混合（LOF）</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中国结算</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182</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011296</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汇添富优势行业一年定开混合A</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r w:rsidR="00F61F28" w:rsidRPr="002B61ED" w:rsidTr="00F61F28">
        <w:trPr>
          <w:trHeight w:val="280"/>
        </w:trPr>
        <w:tc>
          <w:tcPr>
            <w:tcW w:w="674"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183</w:t>
            </w:r>
          </w:p>
        </w:tc>
        <w:tc>
          <w:tcPr>
            <w:tcW w:w="1212"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color w:val="000000"/>
                <w:kern w:val="0"/>
                <w:szCs w:val="21"/>
              </w:rPr>
              <w:t>011297</w:t>
            </w:r>
          </w:p>
        </w:tc>
        <w:tc>
          <w:tcPr>
            <w:tcW w:w="3071" w:type="dxa"/>
            <w:noWrap/>
            <w:hideMark/>
          </w:tcPr>
          <w:p w:rsidR="00F61F28" w:rsidRPr="00C25AE6" w:rsidRDefault="00F61F28" w:rsidP="00F61F28">
            <w:pPr>
              <w:widowControl/>
              <w:jc w:val="left"/>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汇添富优势行业一年定开混合C</w:t>
            </w:r>
          </w:p>
        </w:tc>
        <w:tc>
          <w:tcPr>
            <w:tcW w:w="1559" w:type="dxa"/>
            <w:noWrap/>
            <w:hideMark/>
          </w:tcPr>
          <w:p w:rsidR="00F61F28" w:rsidRPr="00C25AE6" w:rsidRDefault="00F61F28" w:rsidP="00F61F28">
            <w:pPr>
              <w:widowControl/>
              <w:jc w:val="center"/>
              <w:rPr>
                <w:rFonts w:asciiTheme="minorEastAsia" w:hAnsiTheme="minorEastAsia" w:cs="Segoe UI"/>
                <w:color w:val="000000"/>
                <w:kern w:val="0"/>
                <w:szCs w:val="21"/>
              </w:rPr>
            </w:pPr>
            <w:r w:rsidRPr="00C25AE6">
              <w:rPr>
                <w:rFonts w:asciiTheme="minorEastAsia" w:hAnsiTheme="minorEastAsia" w:cs="Segoe UI" w:hint="eastAsia"/>
                <w:color w:val="000000"/>
                <w:kern w:val="0"/>
                <w:szCs w:val="21"/>
              </w:rPr>
              <w:t>汇添富基金</w:t>
            </w:r>
          </w:p>
        </w:tc>
        <w:tc>
          <w:tcPr>
            <w:tcW w:w="1276"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c>
          <w:tcPr>
            <w:tcW w:w="1275" w:type="dxa"/>
          </w:tcPr>
          <w:p w:rsidR="00F61F28" w:rsidRPr="00C25AE6" w:rsidRDefault="00F61F28" w:rsidP="00F61F28">
            <w:pPr>
              <w:widowControl/>
              <w:jc w:val="center"/>
              <w:rPr>
                <w:rFonts w:asciiTheme="minorEastAsia" w:hAnsiTheme="minorEastAsia" w:cs="Segoe UI"/>
                <w:color w:val="000000"/>
                <w:kern w:val="0"/>
                <w:szCs w:val="21"/>
              </w:rPr>
            </w:pPr>
            <w:r w:rsidRPr="00660FD2">
              <w:rPr>
                <w:rFonts w:hint="eastAsia"/>
              </w:rPr>
              <w:t>是</w:t>
            </w:r>
          </w:p>
        </w:tc>
      </w:tr>
    </w:tbl>
    <w:bookmarkEnd w:id="0"/>
    <w:p w:rsidR="00035E82" w:rsidRPr="00EA4CD5" w:rsidRDefault="00035E82" w:rsidP="00035E82">
      <w:pPr>
        <w:spacing w:line="360" w:lineRule="auto"/>
        <w:ind w:firstLineChars="200" w:firstLine="480"/>
        <w:rPr>
          <w:rFonts w:ascii="Times New Roman" w:hAnsi="Times New Roman"/>
          <w:sz w:val="24"/>
          <w:szCs w:val="24"/>
        </w:rPr>
      </w:pPr>
      <w:r w:rsidRPr="00EA4CD5">
        <w:rPr>
          <w:rFonts w:ascii="Times New Roman" w:hAnsi="Times New Roman" w:hint="eastAsia"/>
          <w:sz w:val="24"/>
          <w:szCs w:val="24"/>
        </w:rPr>
        <w:t>基金份额持有人可将其全部或部分基金份额转换成其它基金。</w:t>
      </w:r>
      <w:r w:rsidR="0005592B" w:rsidRPr="00EA4CD5">
        <w:rPr>
          <w:rFonts w:ascii="Times New Roman" w:hAnsi="Times New Roman" w:hint="eastAsia"/>
          <w:sz w:val="24"/>
          <w:szCs w:val="24"/>
        </w:rPr>
        <w:t>上述</w:t>
      </w:r>
      <w:r w:rsidRPr="00EA4CD5">
        <w:rPr>
          <w:rFonts w:ascii="Times New Roman" w:hAnsi="Times New Roman" w:hint="eastAsia"/>
          <w:sz w:val="24"/>
          <w:szCs w:val="24"/>
        </w:rPr>
        <w:t>基金的单笔转换份额不得低于</w:t>
      </w:r>
      <w:r w:rsidRPr="00EA4CD5">
        <w:rPr>
          <w:rFonts w:ascii="Times New Roman" w:hAnsi="Times New Roman" w:hint="eastAsia"/>
          <w:sz w:val="24"/>
          <w:szCs w:val="24"/>
        </w:rPr>
        <w:t>1</w:t>
      </w:r>
      <w:r w:rsidRPr="00EA4CD5">
        <w:rPr>
          <w:rFonts w:ascii="Times New Roman" w:hAnsi="Times New Roman" w:hint="eastAsia"/>
          <w:sz w:val="24"/>
          <w:szCs w:val="24"/>
        </w:rPr>
        <w:t>份。单笔转换申请不受转入基金最低申购限额限制。</w:t>
      </w:r>
    </w:p>
    <w:p w:rsidR="007228DA" w:rsidRPr="00EA4CD5" w:rsidRDefault="00035E82" w:rsidP="007228DA">
      <w:pPr>
        <w:spacing w:line="360" w:lineRule="auto"/>
        <w:ind w:firstLineChars="200" w:firstLine="480"/>
        <w:rPr>
          <w:rFonts w:ascii="Times New Roman" w:hAnsi="Times New Roman"/>
          <w:sz w:val="24"/>
          <w:szCs w:val="24"/>
        </w:rPr>
      </w:pPr>
      <w:r w:rsidRPr="009906A6">
        <w:rPr>
          <w:rFonts w:ascii="Times New Roman" w:hAnsi="Times New Roman" w:hint="eastAsia"/>
          <w:sz w:val="24"/>
          <w:szCs w:val="24"/>
        </w:rPr>
        <w:t>转换后基金份额持有人在销售机构保留的基金份额不足</w:t>
      </w:r>
      <w:r w:rsidRPr="009906A6">
        <w:rPr>
          <w:rFonts w:ascii="Times New Roman" w:hAnsi="Times New Roman"/>
          <w:sz w:val="24"/>
          <w:szCs w:val="24"/>
        </w:rPr>
        <w:t>1</w:t>
      </w:r>
      <w:r w:rsidRPr="009906A6">
        <w:rPr>
          <w:rFonts w:ascii="Times New Roman" w:hAnsi="Times New Roman" w:hint="eastAsia"/>
          <w:sz w:val="24"/>
          <w:szCs w:val="24"/>
        </w:rPr>
        <w:t>份的，登记系统有权将全部剩余份额自动赎回。</w:t>
      </w:r>
    </w:p>
    <w:p w:rsidR="00A953BC" w:rsidRPr="00EA4CD5" w:rsidRDefault="00035E82" w:rsidP="00035E82">
      <w:pPr>
        <w:spacing w:line="360" w:lineRule="auto"/>
        <w:ind w:firstLineChars="200" w:firstLine="480"/>
        <w:rPr>
          <w:rFonts w:asciiTheme="minorEastAsia" w:hAnsiTheme="minorEastAsia"/>
          <w:color w:val="1E1E1E"/>
          <w:sz w:val="24"/>
          <w:szCs w:val="24"/>
        </w:rPr>
      </w:pPr>
      <w:r w:rsidRPr="00EA4CD5">
        <w:rPr>
          <w:rFonts w:asciiTheme="minorEastAsia" w:hAnsiTheme="minorEastAsia" w:hint="eastAsia"/>
          <w:color w:val="1E1E1E"/>
          <w:sz w:val="24"/>
          <w:szCs w:val="24"/>
        </w:rPr>
        <w:t>三、业务规则</w:t>
      </w:r>
    </w:p>
    <w:p w:rsidR="00035E82" w:rsidRPr="00EA4CD5" w:rsidRDefault="00035E82" w:rsidP="00035E82">
      <w:pPr>
        <w:spacing w:line="360" w:lineRule="auto"/>
        <w:ind w:firstLineChars="200" w:firstLine="480"/>
        <w:rPr>
          <w:rFonts w:ascii="Times New Roman" w:hAnsi="Times New Roman"/>
          <w:sz w:val="24"/>
          <w:szCs w:val="24"/>
        </w:rPr>
      </w:pPr>
      <w:r w:rsidRPr="00EA4CD5">
        <w:rPr>
          <w:rFonts w:asciiTheme="minorEastAsia" w:hAnsiTheme="minorEastAsia" w:hint="eastAsia"/>
          <w:color w:val="1E1E1E"/>
          <w:sz w:val="24"/>
          <w:szCs w:val="24"/>
        </w:rPr>
        <w:t>1、</w:t>
      </w:r>
      <w:r w:rsidRPr="00EA4CD5">
        <w:rPr>
          <w:rFonts w:ascii="Times New Roman" w:hAnsi="Times New Roman"/>
          <w:sz w:val="24"/>
          <w:szCs w:val="24"/>
        </w:rPr>
        <w:t>基金转换只能在同一销售机构进行。转换的两只基金必须都是该销售机构代理的同一基金管理人管理的基金。投资者办理基金转换业务时，转出方的基金必须处于可赎回状态，转入方的基金必须处于可申购状态。</w:t>
      </w:r>
    </w:p>
    <w:p w:rsidR="00354E38" w:rsidRPr="00EA4CD5" w:rsidRDefault="00354E38" w:rsidP="00035E82">
      <w:pPr>
        <w:spacing w:line="360" w:lineRule="auto"/>
        <w:ind w:firstLineChars="200" w:firstLine="480"/>
        <w:rPr>
          <w:rFonts w:ascii="Times New Roman" w:hAnsi="Times New Roman"/>
          <w:sz w:val="24"/>
          <w:szCs w:val="24"/>
        </w:rPr>
      </w:pPr>
      <w:r w:rsidRPr="00EA4CD5">
        <w:rPr>
          <w:rFonts w:ascii="Times New Roman" w:hAnsi="Times New Roman" w:hint="eastAsia"/>
          <w:sz w:val="24"/>
          <w:szCs w:val="24"/>
        </w:rPr>
        <w:t>2</w:t>
      </w:r>
      <w:r w:rsidRPr="00EA4CD5">
        <w:rPr>
          <w:rFonts w:ascii="Times New Roman" w:hAnsi="Times New Roman" w:hint="eastAsia"/>
          <w:sz w:val="24"/>
          <w:szCs w:val="24"/>
        </w:rPr>
        <w:t>、办理基金间转换的时间为上海证券交易所、深圳证券交易所交易日。若出现新的证券交易</w:t>
      </w:r>
      <w:r w:rsidR="00846818">
        <w:rPr>
          <w:rFonts w:ascii="Times New Roman" w:hAnsi="Times New Roman" w:hint="eastAsia"/>
          <w:sz w:val="24"/>
          <w:szCs w:val="24"/>
        </w:rPr>
        <w:t>市场</w:t>
      </w:r>
      <w:r w:rsidRPr="00EA4CD5">
        <w:rPr>
          <w:rFonts w:ascii="Times New Roman" w:hAnsi="Times New Roman" w:hint="eastAsia"/>
          <w:sz w:val="24"/>
          <w:szCs w:val="24"/>
        </w:rPr>
        <w:t>或交易所交易时间更改或其它原因，基金管理人将视情况进行相应的调整并公告。</w:t>
      </w:r>
    </w:p>
    <w:p w:rsidR="00354E38" w:rsidRPr="00EA4CD5" w:rsidRDefault="00354E38" w:rsidP="00354E38">
      <w:pPr>
        <w:spacing w:line="360" w:lineRule="auto"/>
        <w:ind w:firstLineChars="200" w:firstLine="480"/>
        <w:rPr>
          <w:rFonts w:ascii="Times New Roman" w:hAnsi="Times New Roman"/>
          <w:sz w:val="24"/>
          <w:szCs w:val="24"/>
        </w:rPr>
      </w:pPr>
      <w:r w:rsidRPr="00EA4CD5">
        <w:rPr>
          <w:rFonts w:ascii="Times New Roman" w:hAnsi="Times New Roman" w:hint="eastAsia"/>
          <w:sz w:val="24"/>
          <w:szCs w:val="24"/>
        </w:rPr>
        <w:t>3</w:t>
      </w:r>
      <w:r w:rsidRPr="00EA4CD5">
        <w:rPr>
          <w:rFonts w:ascii="Times New Roman" w:hAnsi="Times New Roman" w:hint="eastAsia"/>
          <w:sz w:val="24"/>
          <w:szCs w:val="24"/>
        </w:rPr>
        <w:t>、</w:t>
      </w:r>
      <w:r w:rsidRPr="00EA4CD5">
        <w:rPr>
          <w:rFonts w:hAnsi="宋体"/>
          <w:sz w:val="24"/>
        </w:rPr>
        <w:t>注册登记机构以收到有效转换申请的当天作为转换申请日（</w:t>
      </w:r>
      <w:r w:rsidRPr="00EA4CD5">
        <w:rPr>
          <w:sz w:val="24"/>
        </w:rPr>
        <w:t>T</w:t>
      </w:r>
      <w:r w:rsidRPr="00EA4CD5">
        <w:rPr>
          <w:rFonts w:hAnsi="宋体"/>
          <w:sz w:val="24"/>
        </w:rPr>
        <w:t>日）。投资者转换基金成功的，注册登记机构在</w:t>
      </w:r>
      <w:r w:rsidRPr="00EA4CD5">
        <w:rPr>
          <w:sz w:val="24"/>
        </w:rPr>
        <w:t>T</w:t>
      </w:r>
      <w:r w:rsidRPr="00EA4CD5">
        <w:rPr>
          <w:rFonts w:hAnsi="宋体"/>
          <w:sz w:val="24"/>
        </w:rPr>
        <w:t>＋</w:t>
      </w:r>
      <w:r w:rsidRPr="00EA4CD5">
        <w:rPr>
          <w:sz w:val="24"/>
        </w:rPr>
        <w:t>1</w:t>
      </w:r>
      <w:r w:rsidRPr="00EA4CD5">
        <w:rPr>
          <w:rFonts w:hAnsi="宋体"/>
          <w:sz w:val="24"/>
        </w:rPr>
        <w:t>日为投资者办理权益转换的注册登记手续</w:t>
      </w:r>
      <w:r w:rsidRPr="00EA4CD5">
        <w:rPr>
          <w:rFonts w:ascii="Times New Roman" w:hAnsi="Times New Roman"/>
          <w:sz w:val="24"/>
          <w:szCs w:val="24"/>
        </w:rPr>
        <w:t>，投资者通常可自</w:t>
      </w:r>
      <w:r w:rsidRPr="00EA4CD5">
        <w:rPr>
          <w:rFonts w:ascii="Times New Roman" w:hAnsi="Times New Roman"/>
          <w:sz w:val="24"/>
          <w:szCs w:val="24"/>
        </w:rPr>
        <w:t>T</w:t>
      </w:r>
      <w:r w:rsidRPr="00EA4CD5">
        <w:rPr>
          <w:rFonts w:ascii="Times New Roman" w:hAnsi="Times New Roman"/>
          <w:sz w:val="24"/>
          <w:szCs w:val="24"/>
        </w:rPr>
        <w:t>＋</w:t>
      </w:r>
      <w:r w:rsidRPr="00EA4CD5">
        <w:rPr>
          <w:rFonts w:ascii="Times New Roman" w:hAnsi="Times New Roman"/>
          <w:sz w:val="24"/>
          <w:szCs w:val="24"/>
        </w:rPr>
        <w:t>2</w:t>
      </w:r>
      <w:r w:rsidRPr="00EA4CD5">
        <w:rPr>
          <w:rFonts w:ascii="Times New Roman" w:hAnsi="Times New Roman"/>
          <w:sz w:val="24"/>
          <w:szCs w:val="24"/>
        </w:rPr>
        <w:t>日（含该日）起向业务办理网点查询转换业务的确认情况，并有权转换或赎回该部分基金份额。</w:t>
      </w:r>
    </w:p>
    <w:p w:rsidR="00354E38" w:rsidRPr="00EA4CD5" w:rsidRDefault="00354E38" w:rsidP="00354E38">
      <w:pPr>
        <w:spacing w:line="360" w:lineRule="auto"/>
        <w:ind w:firstLineChars="200" w:firstLine="480"/>
        <w:rPr>
          <w:sz w:val="24"/>
        </w:rPr>
      </w:pPr>
      <w:r w:rsidRPr="00EA4CD5">
        <w:rPr>
          <w:rFonts w:ascii="Times New Roman" w:hAnsi="Times New Roman"/>
          <w:sz w:val="24"/>
          <w:szCs w:val="24"/>
        </w:rPr>
        <w:t>4</w:t>
      </w:r>
      <w:r w:rsidRPr="00EA4CD5">
        <w:rPr>
          <w:rFonts w:ascii="Times New Roman" w:hAnsi="Times New Roman" w:hint="eastAsia"/>
          <w:sz w:val="24"/>
          <w:szCs w:val="24"/>
        </w:rPr>
        <w:t>、</w:t>
      </w:r>
      <w:r w:rsidRPr="00EA4CD5">
        <w:rPr>
          <w:rFonts w:ascii="Times New Roman" w:hAnsi="Times New Roman"/>
          <w:sz w:val="24"/>
          <w:szCs w:val="24"/>
        </w:rPr>
        <w:t>基金注册登记人采用</w:t>
      </w:r>
      <w:r w:rsidRPr="00EA4CD5">
        <w:rPr>
          <w:rFonts w:ascii="Times New Roman" w:hAnsi="Times New Roman"/>
          <w:sz w:val="24"/>
          <w:szCs w:val="24"/>
        </w:rPr>
        <w:t>“</w:t>
      </w:r>
      <w:r w:rsidRPr="00EA4CD5">
        <w:rPr>
          <w:rFonts w:ascii="Times New Roman" w:hAnsi="Times New Roman"/>
          <w:sz w:val="24"/>
          <w:szCs w:val="24"/>
        </w:rPr>
        <w:t>先进先出</w:t>
      </w:r>
      <w:r w:rsidRPr="00EA4CD5">
        <w:rPr>
          <w:rFonts w:ascii="Times New Roman" w:hAnsi="Times New Roman"/>
          <w:sz w:val="24"/>
          <w:szCs w:val="24"/>
        </w:rPr>
        <w:t>”</w:t>
      </w:r>
      <w:r w:rsidRPr="00EA4CD5">
        <w:rPr>
          <w:rFonts w:ascii="Times New Roman" w:hAnsi="Times New Roman"/>
          <w:sz w:val="24"/>
          <w:szCs w:val="24"/>
        </w:rPr>
        <w:t>原则确认基金转换申请，即注册登记日期在先的基金</w:t>
      </w:r>
      <w:r w:rsidRPr="00EA4CD5">
        <w:rPr>
          <w:rFonts w:hAnsi="宋体"/>
          <w:sz w:val="24"/>
        </w:rPr>
        <w:t>份额先转出。基金转换后，转入的基金份额的持有期将自转入的基金份额被确认之日起重新开始计算。</w:t>
      </w:r>
    </w:p>
    <w:p w:rsidR="00354E38" w:rsidRPr="00EA4CD5" w:rsidRDefault="00354E38"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5</w:t>
      </w:r>
      <w:r w:rsidR="00035E82" w:rsidRPr="00EA4CD5">
        <w:rPr>
          <w:rFonts w:ascii="Times New Roman" w:hAnsi="Times New Roman" w:hint="eastAsia"/>
          <w:sz w:val="24"/>
          <w:szCs w:val="24"/>
        </w:rPr>
        <w:t>、</w:t>
      </w:r>
      <w:r w:rsidRPr="00EA4CD5">
        <w:rPr>
          <w:rFonts w:ascii="Times New Roman" w:hAnsi="Times New Roman" w:hint="eastAsia"/>
          <w:sz w:val="24"/>
          <w:szCs w:val="24"/>
        </w:rPr>
        <w:t>基金转换采用“份额转换，未知价法”，即转出</w:t>
      </w:r>
      <w:r w:rsidRPr="00EA4CD5">
        <w:rPr>
          <w:rFonts w:ascii="Times New Roman" w:hAnsi="Times New Roman" w:hint="eastAsia"/>
          <w:sz w:val="24"/>
          <w:szCs w:val="24"/>
        </w:rPr>
        <w:t>/</w:t>
      </w:r>
      <w:r w:rsidRPr="00EA4CD5">
        <w:rPr>
          <w:rFonts w:ascii="Times New Roman" w:hAnsi="Times New Roman" w:hint="eastAsia"/>
          <w:sz w:val="24"/>
          <w:szCs w:val="24"/>
        </w:rPr>
        <w:t>转入基金的成交价格以申请当日转出</w:t>
      </w:r>
      <w:r w:rsidRPr="00EA4CD5">
        <w:rPr>
          <w:rFonts w:ascii="Times New Roman" w:hAnsi="Times New Roman" w:hint="eastAsia"/>
          <w:sz w:val="24"/>
          <w:szCs w:val="24"/>
        </w:rPr>
        <w:t>/</w:t>
      </w:r>
      <w:r w:rsidRPr="00EA4CD5">
        <w:rPr>
          <w:rFonts w:ascii="Times New Roman" w:hAnsi="Times New Roman" w:hint="eastAsia"/>
          <w:sz w:val="24"/>
          <w:szCs w:val="24"/>
        </w:rPr>
        <w:t>转入基金的基金份额净值为计算依据，基金份额持有人在办理基金转换时，须缴纳一定的转换费用。</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基金的转换按照转出基金的赎回费用加上转出与转入基金申购费用补差的标准收取费用。上述基金调整后的转换费用如下：</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w:t>
      </w:r>
      <w:r w:rsidR="00354E38" w:rsidRPr="00EA4CD5">
        <w:rPr>
          <w:rFonts w:ascii="Times New Roman" w:hAnsi="Times New Roman" w:hint="eastAsia"/>
          <w:sz w:val="24"/>
          <w:szCs w:val="24"/>
        </w:rPr>
        <w:t>1</w:t>
      </w:r>
      <w:r w:rsidRPr="00EA4CD5">
        <w:rPr>
          <w:rFonts w:ascii="Times New Roman" w:hAnsi="Times New Roman"/>
          <w:sz w:val="24"/>
          <w:szCs w:val="24"/>
        </w:rPr>
        <w:t>）赎回费用</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转出基金的赎回费率按持有年限递减，具体各基金的赎回费率请参见各基金的招募说明书或在本公司网站（</w:t>
      </w:r>
      <w:r w:rsidRPr="00EA4CD5">
        <w:rPr>
          <w:rFonts w:ascii="Times New Roman" w:hAnsi="Times New Roman"/>
          <w:sz w:val="24"/>
          <w:szCs w:val="24"/>
        </w:rPr>
        <w:t>www.99fund.com</w:t>
      </w:r>
      <w:r w:rsidRPr="00EA4CD5">
        <w:rPr>
          <w:rFonts w:ascii="Times New Roman" w:hAnsi="Times New Roman"/>
          <w:sz w:val="24"/>
          <w:szCs w:val="24"/>
        </w:rPr>
        <w:t>）查询。基金转换费用中转出基金的赎回费总额的归入转出基金的基金财产的比例参照赎回费率的规定。</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w:t>
      </w:r>
      <w:r w:rsidR="00354E38" w:rsidRPr="00EA4CD5">
        <w:rPr>
          <w:rFonts w:ascii="Times New Roman" w:hAnsi="Times New Roman" w:hint="eastAsia"/>
          <w:sz w:val="24"/>
          <w:szCs w:val="24"/>
        </w:rPr>
        <w:t>2</w:t>
      </w:r>
      <w:r w:rsidRPr="00EA4CD5">
        <w:rPr>
          <w:rFonts w:ascii="Times New Roman" w:hAnsi="Times New Roman"/>
          <w:sz w:val="24"/>
          <w:szCs w:val="24"/>
        </w:rPr>
        <w:t>）申购补差费用</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当转出基金申购费率低于转入基金申购费率时，费用补差为按照转出基金金额计算的申购费用差额；当转出基金申购费率不低于转入基金申购费率时，不收取费用补差。</w:t>
      </w:r>
      <w:r w:rsidRPr="00EA4CD5">
        <w:rPr>
          <w:rFonts w:ascii="Times New Roman" w:hAnsi="Times New Roman"/>
          <w:sz w:val="24"/>
          <w:szCs w:val="24"/>
        </w:rPr>
        <w:t xml:space="preserve"> </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基金转换份额的计算公式：</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转出确认金额＝转出份额</w:t>
      </w:r>
      <w:r w:rsidRPr="00EA4CD5">
        <w:rPr>
          <w:rFonts w:ascii="Times New Roman" w:hAnsi="Times New Roman"/>
          <w:sz w:val="24"/>
          <w:szCs w:val="24"/>
        </w:rPr>
        <w:t>×</w:t>
      </w:r>
      <w:r w:rsidRPr="00EA4CD5">
        <w:rPr>
          <w:rFonts w:ascii="Times New Roman" w:hAnsi="Times New Roman"/>
          <w:sz w:val="24"/>
          <w:szCs w:val="24"/>
        </w:rPr>
        <w:t>转出基金份额净值</w:t>
      </w:r>
      <w:r w:rsidRPr="00EA4CD5">
        <w:rPr>
          <w:rFonts w:ascii="Times New Roman" w:hAnsi="Times New Roman"/>
          <w:sz w:val="24"/>
          <w:szCs w:val="24"/>
        </w:rPr>
        <w:t xml:space="preserve"> </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赎回费＝转出确认金额</w:t>
      </w:r>
      <w:r w:rsidRPr="00EA4CD5">
        <w:rPr>
          <w:rFonts w:ascii="Times New Roman" w:hAnsi="Times New Roman"/>
          <w:sz w:val="24"/>
          <w:szCs w:val="24"/>
        </w:rPr>
        <w:t>×</w:t>
      </w:r>
      <w:r w:rsidRPr="00EA4CD5">
        <w:rPr>
          <w:rFonts w:ascii="Times New Roman" w:hAnsi="Times New Roman"/>
          <w:sz w:val="24"/>
          <w:szCs w:val="24"/>
        </w:rPr>
        <w:t>赎回费率</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补差费＝</w:t>
      </w:r>
      <w:r w:rsidRPr="00EA4CD5">
        <w:rPr>
          <w:rFonts w:ascii="Times New Roman" w:hAnsi="Times New Roman"/>
          <w:sz w:val="24"/>
          <w:szCs w:val="24"/>
        </w:rPr>
        <w:t>(</w:t>
      </w:r>
      <w:r w:rsidRPr="00EA4CD5">
        <w:rPr>
          <w:rFonts w:ascii="Times New Roman" w:hAnsi="Times New Roman"/>
          <w:sz w:val="24"/>
          <w:szCs w:val="24"/>
        </w:rPr>
        <w:t>转出确认金额－赎回费</w:t>
      </w:r>
      <w:r w:rsidRPr="00EA4CD5">
        <w:rPr>
          <w:rFonts w:ascii="Times New Roman" w:hAnsi="Times New Roman"/>
          <w:sz w:val="24"/>
          <w:szCs w:val="24"/>
        </w:rPr>
        <w:t>)×</w:t>
      </w:r>
      <w:r w:rsidRPr="00EA4CD5">
        <w:rPr>
          <w:rFonts w:ascii="Times New Roman" w:hAnsi="Times New Roman"/>
          <w:sz w:val="24"/>
          <w:szCs w:val="24"/>
        </w:rPr>
        <w:t>补差费率</w:t>
      </w:r>
      <w:r w:rsidRPr="00EA4CD5">
        <w:rPr>
          <w:rFonts w:ascii="Times New Roman" w:hAnsi="Times New Roman"/>
          <w:sz w:val="24"/>
          <w:szCs w:val="24"/>
        </w:rPr>
        <w:t>÷(1</w:t>
      </w:r>
      <w:r w:rsidRPr="00EA4CD5">
        <w:rPr>
          <w:rFonts w:ascii="Times New Roman" w:hAnsi="Times New Roman"/>
          <w:sz w:val="24"/>
          <w:szCs w:val="24"/>
        </w:rPr>
        <w:t>＋补差费率</w:t>
      </w:r>
      <w:r w:rsidRPr="00EA4CD5">
        <w:rPr>
          <w:rFonts w:ascii="Times New Roman" w:hAnsi="Times New Roman"/>
          <w:sz w:val="24"/>
          <w:szCs w:val="24"/>
        </w:rPr>
        <w:t>)</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转入确认金额＝转出确认金额－赎回费－补差费</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转入确认份额＝转入确认金额</w:t>
      </w:r>
      <w:r w:rsidRPr="00EA4CD5">
        <w:rPr>
          <w:rFonts w:ascii="Times New Roman" w:hAnsi="Times New Roman"/>
          <w:sz w:val="24"/>
          <w:szCs w:val="24"/>
        </w:rPr>
        <w:t>÷</w:t>
      </w:r>
      <w:r w:rsidRPr="00EA4CD5">
        <w:rPr>
          <w:rFonts w:ascii="Times New Roman" w:hAnsi="Times New Roman"/>
          <w:sz w:val="24"/>
          <w:szCs w:val="24"/>
        </w:rPr>
        <w:t>转入基金份额净值</w:t>
      </w:r>
    </w:p>
    <w:p w:rsidR="00035E82" w:rsidRPr="00EA4CD5" w:rsidRDefault="00035E82" w:rsidP="00035E82">
      <w:pPr>
        <w:spacing w:line="360" w:lineRule="auto"/>
        <w:ind w:firstLineChars="200" w:firstLine="480"/>
        <w:jc w:val="left"/>
        <w:rPr>
          <w:rFonts w:ascii="Times New Roman" w:hAnsi="Times New Roman"/>
          <w:sz w:val="24"/>
          <w:szCs w:val="24"/>
        </w:rPr>
      </w:pPr>
      <w:r w:rsidRPr="00EA4CD5">
        <w:rPr>
          <w:rFonts w:ascii="Times New Roman" w:hAnsi="Times New Roman"/>
          <w:sz w:val="24"/>
          <w:szCs w:val="24"/>
        </w:rPr>
        <w:t>（若转出基金申购费率不低于转入基金申购费率时，补差费为零）</w:t>
      </w:r>
    </w:p>
    <w:p w:rsidR="007228DA" w:rsidRPr="00EA4CD5" w:rsidRDefault="007228DA" w:rsidP="007228DA">
      <w:pPr>
        <w:spacing w:line="360" w:lineRule="auto"/>
        <w:ind w:leftChars="100" w:left="210" w:firstLineChars="100" w:firstLine="240"/>
        <w:jc w:val="left"/>
        <w:rPr>
          <w:rFonts w:ascii="Times New Roman" w:hAnsi="Times New Roman"/>
          <w:color w:val="000000" w:themeColor="text1"/>
          <w:sz w:val="24"/>
          <w:szCs w:val="24"/>
        </w:rPr>
      </w:pPr>
      <w:r w:rsidRPr="00EA4CD5">
        <w:rPr>
          <w:rFonts w:ascii="Times New Roman" w:hAnsi="Times New Roman" w:hint="eastAsia"/>
          <w:color w:val="000000" w:themeColor="text1"/>
          <w:sz w:val="24"/>
          <w:szCs w:val="24"/>
        </w:rPr>
        <w:t>6</w:t>
      </w:r>
      <w:r w:rsidRPr="00EA4CD5">
        <w:rPr>
          <w:rFonts w:ascii="Times New Roman" w:hAnsi="Times New Roman" w:hint="eastAsia"/>
          <w:color w:val="000000" w:themeColor="text1"/>
          <w:sz w:val="24"/>
          <w:szCs w:val="24"/>
        </w:rPr>
        <w:t>、在基金限制大额</w:t>
      </w:r>
      <w:r w:rsidR="00EA4CD5" w:rsidRPr="00EA4CD5">
        <w:rPr>
          <w:rFonts w:ascii="Times New Roman" w:hAnsi="Times New Roman" w:hint="eastAsia"/>
          <w:color w:val="000000" w:themeColor="text1"/>
          <w:sz w:val="24"/>
          <w:szCs w:val="24"/>
        </w:rPr>
        <w:t>申购、大额</w:t>
      </w:r>
      <w:r w:rsidRPr="00EA4CD5">
        <w:rPr>
          <w:rFonts w:ascii="Times New Roman" w:hAnsi="Times New Roman" w:hint="eastAsia"/>
          <w:color w:val="000000" w:themeColor="text1"/>
          <w:sz w:val="24"/>
          <w:szCs w:val="24"/>
        </w:rPr>
        <w:t>转换转入业务期间，如单日某基金账户单笔或多笔</w:t>
      </w:r>
      <w:r w:rsidR="000345DF" w:rsidRPr="00EA4CD5">
        <w:rPr>
          <w:rFonts w:ascii="Times New Roman" w:hAnsi="Times New Roman" w:hint="eastAsia"/>
          <w:color w:val="000000" w:themeColor="text1"/>
          <w:sz w:val="24"/>
          <w:szCs w:val="24"/>
        </w:rPr>
        <w:t>累计</w:t>
      </w:r>
      <w:r w:rsidR="00EA4CD5" w:rsidRPr="00EA4CD5">
        <w:rPr>
          <w:rFonts w:ascii="Times New Roman" w:hAnsi="Times New Roman" w:hint="eastAsia"/>
          <w:color w:val="000000" w:themeColor="text1"/>
          <w:sz w:val="24"/>
          <w:szCs w:val="24"/>
        </w:rPr>
        <w:t>申购或转换转入（</w:t>
      </w:r>
      <w:r w:rsidR="00452110">
        <w:rPr>
          <w:rFonts w:ascii="Times New Roman" w:hAnsi="Times New Roman" w:hint="eastAsia"/>
          <w:color w:val="000000" w:themeColor="text1"/>
          <w:sz w:val="24"/>
          <w:szCs w:val="24"/>
        </w:rPr>
        <w:t>含</w:t>
      </w:r>
      <w:r w:rsidRPr="00EA4CD5">
        <w:rPr>
          <w:rFonts w:ascii="Times New Roman" w:hAnsi="Times New Roman" w:hint="eastAsia"/>
          <w:color w:val="000000" w:themeColor="text1"/>
          <w:sz w:val="24"/>
          <w:szCs w:val="24"/>
        </w:rPr>
        <w:t>跨</w:t>
      </w:r>
      <w:r w:rsidRPr="00EA4CD5">
        <w:rPr>
          <w:rFonts w:ascii="Times New Roman" w:hAnsi="Times New Roman" w:hint="eastAsia"/>
          <w:color w:val="000000" w:themeColor="text1"/>
          <w:sz w:val="24"/>
          <w:szCs w:val="24"/>
        </w:rPr>
        <w:t>TA</w:t>
      </w:r>
      <w:r w:rsidRPr="00EA4CD5">
        <w:rPr>
          <w:rFonts w:ascii="Times New Roman" w:hAnsi="Times New Roman" w:hint="eastAsia"/>
          <w:color w:val="000000" w:themeColor="text1"/>
          <w:sz w:val="24"/>
          <w:szCs w:val="24"/>
        </w:rPr>
        <w:t>转入</w:t>
      </w:r>
      <w:r w:rsidR="00EA4CD5" w:rsidRPr="00EA4CD5">
        <w:rPr>
          <w:rFonts w:ascii="Times New Roman" w:hAnsi="Times New Roman" w:hint="eastAsia"/>
          <w:color w:val="000000" w:themeColor="text1"/>
          <w:sz w:val="24"/>
          <w:szCs w:val="24"/>
        </w:rPr>
        <w:t>）</w:t>
      </w:r>
      <w:r w:rsidRPr="00EA4CD5">
        <w:rPr>
          <w:rFonts w:ascii="Times New Roman" w:hAnsi="Times New Roman" w:hint="eastAsia"/>
          <w:color w:val="000000" w:themeColor="text1"/>
          <w:sz w:val="24"/>
          <w:szCs w:val="24"/>
        </w:rPr>
        <w:t>该基金的金额超过大额金额限制，</w:t>
      </w:r>
      <w:r w:rsidR="0005592B" w:rsidRPr="00EA4CD5">
        <w:rPr>
          <w:rFonts w:ascii="Times New Roman" w:hAnsi="Times New Roman" w:hint="eastAsia"/>
          <w:color w:val="000000" w:themeColor="text1"/>
          <w:sz w:val="24"/>
          <w:szCs w:val="24"/>
        </w:rPr>
        <w:t>本公司有权全部或部分拒绝该类份额的</w:t>
      </w:r>
      <w:r w:rsidR="00EA4CD5" w:rsidRPr="00EA4CD5">
        <w:rPr>
          <w:rFonts w:ascii="Times New Roman" w:hAnsi="Times New Roman" w:hint="eastAsia"/>
          <w:color w:val="000000" w:themeColor="text1"/>
          <w:sz w:val="24"/>
          <w:szCs w:val="24"/>
        </w:rPr>
        <w:t>申购或转换转入（</w:t>
      </w:r>
      <w:r w:rsidR="00452110">
        <w:rPr>
          <w:rFonts w:ascii="Times New Roman" w:hAnsi="Times New Roman" w:hint="eastAsia"/>
          <w:color w:val="000000" w:themeColor="text1"/>
          <w:sz w:val="24"/>
          <w:szCs w:val="24"/>
        </w:rPr>
        <w:t>含</w:t>
      </w:r>
      <w:r w:rsidR="00EA4CD5" w:rsidRPr="00EA4CD5">
        <w:rPr>
          <w:rFonts w:ascii="Times New Roman" w:hAnsi="Times New Roman" w:hint="eastAsia"/>
          <w:color w:val="000000" w:themeColor="text1"/>
          <w:sz w:val="24"/>
          <w:szCs w:val="24"/>
        </w:rPr>
        <w:t>跨</w:t>
      </w:r>
      <w:r w:rsidR="00EA4CD5" w:rsidRPr="00EA4CD5">
        <w:rPr>
          <w:rFonts w:ascii="Times New Roman" w:hAnsi="Times New Roman" w:hint="eastAsia"/>
          <w:color w:val="000000" w:themeColor="text1"/>
          <w:sz w:val="24"/>
          <w:szCs w:val="24"/>
        </w:rPr>
        <w:t>TA</w:t>
      </w:r>
      <w:r w:rsidR="00EA4CD5" w:rsidRPr="00EA4CD5">
        <w:rPr>
          <w:rFonts w:ascii="Times New Roman" w:hAnsi="Times New Roman" w:hint="eastAsia"/>
          <w:color w:val="000000" w:themeColor="text1"/>
          <w:sz w:val="24"/>
          <w:szCs w:val="24"/>
        </w:rPr>
        <w:t>转入）</w:t>
      </w:r>
      <w:r w:rsidR="0005592B" w:rsidRPr="00EA4CD5">
        <w:rPr>
          <w:rFonts w:ascii="Times New Roman" w:hAnsi="Times New Roman" w:hint="eastAsia"/>
          <w:color w:val="000000" w:themeColor="text1"/>
          <w:sz w:val="24"/>
          <w:szCs w:val="24"/>
        </w:rPr>
        <w:t>申请</w:t>
      </w:r>
      <w:r w:rsidR="000345DF" w:rsidRPr="00EA4CD5">
        <w:rPr>
          <w:rFonts w:ascii="Times New Roman" w:hAnsi="Times New Roman" w:hint="eastAsia"/>
          <w:color w:val="000000" w:themeColor="text1"/>
          <w:sz w:val="24"/>
          <w:szCs w:val="24"/>
        </w:rPr>
        <w:t>。</w:t>
      </w:r>
    </w:p>
    <w:p w:rsidR="00035E82" w:rsidRPr="00EA4CD5" w:rsidRDefault="007228DA" w:rsidP="00035E82">
      <w:pPr>
        <w:spacing w:line="360" w:lineRule="auto"/>
        <w:ind w:firstLineChars="200" w:firstLine="480"/>
        <w:rPr>
          <w:rFonts w:ascii="Times New Roman" w:hAnsi="Times New Roman"/>
          <w:sz w:val="24"/>
          <w:szCs w:val="24"/>
        </w:rPr>
      </w:pPr>
      <w:r w:rsidRPr="00EA4CD5">
        <w:rPr>
          <w:rFonts w:ascii="Times New Roman" w:hAnsi="Times New Roman"/>
          <w:sz w:val="24"/>
          <w:szCs w:val="24"/>
        </w:rPr>
        <w:t>7</w:t>
      </w:r>
      <w:r w:rsidR="00035E82" w:rsidRPr="00EA4CD5">
        <w:rPr>
          <w:rFonts w:ascii="Times New Roman" w:hAnsi="Times New Roman" w:hint="eastAsia"/>
          <w:sz w:val="24"/>
          <w:szCs w:val="24"/>
        </w:rPr>
        <w:t>、</w:t>
      </w:r>
      <w:r w:rsidR="00354E38" w:rsidRPr="00EA4CD5">
        <w:rPr>
          <w:rFonts w:ascii="Times New Roman" w:hAnsi="Times New Roman" w:hint="eastAsia"/>
          <w:sz w:val="24"/>
          <w:szCs w:val="24"/>
        </w:rPr>
        <w:t>基金转换视同为转出基金的赎回和转入基金的申购，因此暂停基金转换适用有关转出基金和转入基金关于暂停或拒绝申购、暂停赎回和巨额赎回的有关规定。</w:t>
      </w:r>
      <w:r w:rsidRPr="00EA4CD5">
        <w:rPr>
          <w:rFonts w:ascii="Times New Roman" w:hAnsi="Times New Roman" w:hint="eastAsia"/>
          <w:sz w:val="24"/>
          <w:szCs w:val="24"/>
        </w:rPr>
        <w:t>发生巨额赎回时，基金转出与基金赎回具有相同的优先级，基金管理人可根据基金资产组合情况，决定全额转出或部分转出，并且对于基金转出和基金赎回，将采取相同的比例确认。在转出申请得到部分确认的情况下，未确认部分的转出申请将自动予以撤销，不再视为下一开放日的基金转换申请。</w:t>
      </w:r>
    </w:p>
    <w:p w:rsidR="000345DF" w:rsidRPr="00EA4CD5" w:rsidRDefault="000345DF" w:rsidP="00035E82">
      <w:pPr>
        <w:spacing w:line="360" w:lineRule="auto"/>
        <w:ind w:firstLineChars="200" w:firstLine="480"/>
        <w:rPr>
          <w:rFonts w:ascii="Times New Roman" w:hAnsi="Times New Roman"/>
          <w:sz w:val="24"/>
          <w:szCs w:val="24"/>
        </w:rPr>
      </w:pPr>
      <w:r w:rsidRPr="00EA4CD5">
        <w:rPr>
          <w:rFonts w:ascii="Times New Roman" w:hAnsi="Times New Roman"/>
          <w:sz w:val="24"/>
          <w:szCs w:val="24"/>
        </w:rPr>
        <w:t>四</w:t>
      </w:r>
      <w:r w:rsidRPr="00EA4CD5">
        <w:rPr>
          <w:rFonts w:ascii="Times New Roman" w:hAnsi="Times New Roman" w:hint="eastAsia"/>
          <w:sz w:val="24"/>
          <w:szCs w:val="24"/>
        </w:rPr>
        <w:t>、</w:t>
      </w:r>
      <w:r w:rsidRPr="00EA4CD5">
        <w:rPr>
          <w:rFonts w:ascii="Times New Roman" w:hAnsi="Times New Roman"/>
          <w:sz w:val="24"/>
          <w:szCs w:val="24"/>
        </w:rPr>
        <w:t>其他重要提示</w:t>
      </w:r>
    </w:p>
    <w:p w:rsidR="00CE53D3" w:rsidRPr="00EA4CD5" w:rsidRDefault="00CE53D3" w:rsidP="00CE53D3">
      <w:pPr>
        <w:spacing w:line="360" w:lineRule="auto"/>
        <w:ind w:firstLineChars="200" w:firstLine="480"/>
        <w:rPr>
          <w:rFonts w:ascii="Times New Roman" w:hAnsi="Times New Roman"/>
          <w:sz w:val="24"/>
          <w:szCs w:val="24"/>
        </w:rPr>
      </w:pPr>
      <w:r w:rsidRPr="00EA4CD5">
        <w:rPr>
          <w:rFonts w:ascii="Times New Roman" w:hAnsi="Times New Roman"/>
          <w:sz w:val="24"/>
          <w:szCs w:val="24"/>
        </w:rPr>
        <w:t>1</w:t>
      </w:r>
      <w:r w:rsidRPr="00EA4CD5">
        <w:rPr>
          <w:rFonts w:ascii="Times New Roman" w:hAnsi="Times New Roman" w:hint="eastAsia"/>
          <w:sz w:val="24"/>
          <w:szCs w:val="24"/>
        </w:rPr>
        <w:t>、</w:t>
      </w:r>
      <w:r w:rsidR="000345DF" w:rsidRPr="00EA4CD5">
        <w:rPr>
          <w:rFonts w:ascii="Times New Roman" w:hAnsi="Times New Roman" w:hint="eastAsia"/>
          <w:sz w:val="24"/>
          <w:szCs w:val="24"/>
        </w:rPr>
        <w:t>本公司有权根据市场情况或法律法规变化调整上述转换的规则，并及时公告。本公告解释权归本公司。</w:t>
      </w:r>
    </w:p>
    <w:p w:rsidR="000345DF" w:rsidRPr="00EA4CD5" w:rsidRDefault="00CE53D3" w:rsidP="00CE53D3">
      <w:pPr>
        <w:spacing w:line="360" w:lineRule="auto"/>
        <w:ind w:firstLineChars="200" w:firstLine="480"/>
        <w:rPr>
          <w:rFonts w:ascii="Times New Roman" w:hAnsi="Times New Roman"/>
          <w:sz w:val="24"/>
          <w:szCs w:val="24"/>
        </w:rPr>
      </w:pPr>
      <w:r w:rsidRPr="00EA4CD5">
        <w:rPr>
          <w:rFonts w:ascii="Times New Roman" w:hAnsi="Times New Roman"/>
          <w:sz w:val="24"/>
          <w:szCs w:val="24"/>
        </w:rPr>
        <w:t>2</w:t>
      </w:r>
      <w:r w:rsidRPr="00EA4CD5">
        <w:rPr>
          <w:rFonts w:ascii="Times New Roman" w:hAnsi="Times New Roman" w:hint="eastAsia"/>
          <w:sz w:val="24"/>
          <w:szCs w:val="24"/>
        </w:rPr>
        <w:t>、</w:t>
      </w:r>
      <w:r w:rsidR="000345DF" w:rsidRPr="00EA4CD5">
        <w:rPr>
          <w:rFonts w:ascii="Times New Roman" w:hAnsi="Times New Roman" w:hint="eastAsia"/>
          <w:sz w:val="24"/>
          <w:szCs w:val="24"/>
        </w:rPr>
        <w:t>投资者欲了解上述基金的详细情况，请仔细阅读刊登于本公司网站（</w:t>
      </w:r>
      <w:r w:rsidR="000345DF" w:rsidRPr="00EA4CD5">
        <w:rPr>
          <w:rFonts w:ascii="Times New Roman" w:hAnsi="Times New Roman" w:hint="eastAsia"/>
          <w:sz w:val="24"/>
          <w:szCs w:val="24"/>
        </w:rPr>
        <w:t>www.99fund.com</w:t>
      </w:r>
      <w:r w:rsidR="000345DF" w:rsidRPr="00EA4CD5">
        <w:rPr>
          <w:rFonts w:ascii="Times New Roman" w:hAnsi="Times New Roman" w:hint="eastAsia"/>
          <w:sz w:val="24"/>
          <w:szCs w:val="24"/>
        </w:rPr>
        <w:t>）的上述基金《基金合同》、《招募说明书》</w:t>
      </w:r>
      <w:r w:rsidR="005116A7">
        <w:rPr>
          <w:rFonts w:ascii="Times New Roman" w:hAnsi="Times New Roman" w:hint="eastAsia"/>
          <w:sz w:val="24"/>
          <w:szCs w:val="24"/>
        </w:rPr>
        <w:t>和《基金产品资料概要》</w:t>
      </w:r>
      <w:r w:rsidR="000345DF" w:rsidRPr="00EA4CD5">
        <w:rPr>
          <w:rFonts w:ascii="Times New Roman" w:hAnsi="Times New Roman" w:hint="eastAsia"/>
          <w:sz w:val="24"/>
          <w:szCs w:val="24"/>
        </w:rPr>
        <w:t>等</w:t>
      </w:r>
      <w:r w:rsidR="005116A7">
        <w:rPr>
          <w:rFonts w:ascii="Times New Roman" w:hAnsi="Times New Roman" w:hint="eastAsia"/>
          <w:sz w:val="24"/>
          <w:szCs w:val="24"/>
        </w:rPr>
        <w:t>信息披露</w:t>
      </w:r>
      <w:r w:rsidR="000345DF" w:rsidRPr="00EA4CD5">
        <w:rPr>
          <w:rFonts w:ascii="Times New Roman" w:hAnsi="Times New Roman" w:hint="eastAsia"/>
          <w:sz w:val="24"/>
          <w:szCs w:val="24"/>
        </w:rPr>
        <w:t>文件以及相关业务公告，也可拨打本公司客户服务热线（</w:t>
      </w:r>
      <w:r w:rsidR="000345DF" w:rsidRPr="00EA4CD5">
        <w:rPr>
          <w:rFonts w:ascii="Times New Roman" w:hAnsi="Times New Roman" w:hint="eastAsia"/>
          <w:sz w:val="24"/>
          <w:szCs w:val="24"/>
        </w:rPr>
        <w:t>400-888-9918</w:t>
      </w:r>
      <w:r w:rsidR="000345DF" w:rsidRPr="00EA4CD5">
        <w:rPr>
          <w:rFonts w:ascii="Times New Roman" w:hAnsi="Times New Roman" w:hint="eastAsia"/>
          <w:sz w:val="24"/>
          <w:szCs w:val="24"/>
        </w:rPr>
        <w:t>）咨询相关信息。</w:t>
      </w:r>
    </w:p>
    <w:p w:rsidR="00CE53D3" w:rsidRPr="00EA4CD5" w:rsidRDefault="00CE53D3" w:rsidP="00CE53D3">
      <w:pPr>
        <w:spacing w:line="360" w:lineRule="auto"/>
        <w:ind w:firstLineChars="200" w:firstLine="480"/>
        <w:rPr>
          <w:rFonts w:ascii="Times New Roman" w:hAnsi="Times New Roman"/>
          <w:sz w:val="24"/>
          <w:szCs w:val="24"/>
        </w:rPr>
      </w:pPr>
      <w:r w:rsidRPr="00EA4CD5">
        <w:rPr>
          <w:rFonts w:ascii="Times New Roman" w:hAnsi="Times New Roman" w:hint="eastAsia"/>
          <w:sz w:val="24"/>
          <w:szCs w:val="24"/>
        </w:rPr>
        <w:t>汇添富基金高度重视投资者服务和投资者教育，特此提醒投资者需正确认知基金投资的风险和长期收益，做理性的基金投资人，做明白的基金投资人，享受长期投资的快乐！</w:t>
      </w:r>
    </w:p>
    <w:p w:rsidR="00CE53D3" w:rsidRPr="00EA4CD5" w:rsidRDefault="00CE53D3" w:rsidP="00CE53D3">
      <w:pPr>
        <w:spacing w:line="360" w:lineRule="auto"/>
        <w:ind w:firstLineChars="200" w:firstLine="480"/>
        <w:rPr>
          <w:rFonts w:ascii="Times New Roman" w:hAnsi="Times New Roman"/>
          <w:sz w:val="24"/>
          <w:szCs w:val="24"/>
        </w:rPr>
      </w:pPr>
      <w:r w:rsidRPr="00EA4CD5">
        <w:rPr>
          <w:rFonts w:ascii="Times New Roman" w:hAnsi="Times New Roman" w:hint="eastAsia"/>
          <w:sz w:val="24"/>
          <w:szCs w:val="24"/>
        </w:rPr>
        <w:t>特此公告。</w:t>
      </w:r>
    </w:p>
    <w:p w:rsidR="00CE53D3" w:rsidRPr="00EA4CD5" w:rsidRDefault="00CE53D3" w:rsidP="00CE53D3">
      <w:pPr>
        <w:spacing w:line="360" w:lineRule="auto"/>
        <w:ind w:firstLineChars="200" w:firstLine="480"/>
        <w:jc w:val="right"/>
        <w:rPr>
          <w:rFonts w:ascii="Times New Roman" w:hAnsi="Times New Roman"/>
          <w:sz w:val="24"/>
          <w:szCs w:val="24"/>
        </w:rPr>
      </w:pPr>
      <w:r w:rsidRPr="00EA4CD5">
        <w:rPr>
          <w:rFonts w:ascii="Times New Roman" w:hAnsi="Times New Roman" w:hint="eastAsia"/>
          <w:sz w:val="24"/>
          <w:szCs w:val="24"/>
        </w:rPr>
        <w:t>汇添富基金管理股份有限公司</w:t>
      </w:r>
    </w:p>
    <w:p w:rsidR="00035E82" w:rsidRPr="00035E82" w:rsidRDefault="002B61ED" w:rsidP="00C25AE6">
      <w:pPr>
        <w:spacing w:line="360" w:lineRule="auto"/>
        <w:jc w:val="right"/>
        <w:rPr>
          <w:rFonts w:asciiTheme="minorEastAsia" w:hAnsiTheme="minorEastAsia"/>
          <w:color w:val="1E1E1E"/>
          <w:sz w:val="24"/>
          <w:szCs w:val="24"/>
        </w:rPr>
      </w:pPr>
      <w:r w:rsidRPr="00EA4CD5">
        <w:rPr>
          <w:rFonts w:ascii="Times New Roman" w:hAnsi="Times New Roman" w:hint="eastAsia"/>
          <w:sz w:val="24"/>
          <w:szCs w:val="24"/>
        </w:rPr>
        <w:t>202</w:t>
      </w:r>
      <w:r>
        <w:rPr>
          <w:rFonts w:ascii="Times New Roman" w:hAnsi="Times New Roman"/>
          <w:sz w:val="24"/>
          <w:szCs w:val="24"/>
        </w:rPr>
        <w:t>2</w:t>
      </w:r>
      <w:r w:rsidR="005116A7" w:rsidRPr="00EA4CD5">
        <w:rPr>
          <w:rFonts w:ascii="Times New Roman" w:hAnsi="Times New Roman" w:hint="eastAsia"/>
          <w:sz w:val="24"/>
          <w:szCs w:val="24"/>
        </w:rPr>
        <w:t>年</w:t>
      </w:r>
      <w:r>
        <w:rPr>
          <w:rFonts w:ascii="Times New Roman" w:hAnsi="Times New Roman"/>
          <w:sz w:val="24"/>
          <w:szCs w:val="24"/>
        </w:rPr>
        <w:t>4</w:t>
      </w:r>
      <w:r w:rsidR="00CE53D3" w:rsidRPr="00EA4CD5">
        <w:rPr>
          <w:rFonts w:ascii="Times New Roman" w:hAnsi="Times New Roman" w:hint="eastAsia"/>
          <w:sz w:val="24"/>
          <w:szCs w:val="24"/>
        </w:rPr>
        <w:t>月</w:t>
      </w:r>
      <w:r>
        <w:rPr>
          <w:rFonts w:ascii="Times New Roman" w:hAnsi="Times New Roman"/>
          <w:sz w:val="24"/>
          <w:szCs w:val="24"/>
        </w:rPr>
        <w:t>28</w:t>
      </w:r>
      <w:r w:rsidR="00CE53D3" w:rsidRPr="00EA4CD5">
        <w:rPr>
          <w:rFonts w:ascii="Times New Roman" w:hAnsi="Times New Roman" w:hint="eastAsia"/>
          <w:sz w:val="24"/>
          <w:szCs w:val="24"/>
        </w:rPr>
        <w:t>日</w:t>
      </w:r>
    </w:p>
    <w:sectPr w:rsidR="00035E82" w:rsidRPr="00035E82" w:rsidSect="00F952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7A" w:rsidRDefault="00DC2C7A" w:rsidP="0005592B">
      <w:r>
        <w:separator/>
      </w:r>
    </w:p>
  </w:endnote>
  <w:endnote w:type="continuationSeparator" w:id="0">
    <w:p w:rsidR="00DC2C7A" w:rsidRDefault="00DC2C7A" w:rsidP="00055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7A" w:rsidRDefault="00DC2C7A" w:rsidP="0005592B">
      <w:r>
        <w:separator/>
      </w:r>
    </w:p>
  </w:footnote>
  <w:footnote w:type="continuationSeparator" w:id="0">
    <w:p w:rsidR="00DC2C7A" w:rsidRDefault="00DC2C7A" w:rsidP="000559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E6D"/>
    <w:rsid w:val="000345DF"/>
    <w:rsid w:val="00035E82"/>
    <w:rsid w:val="0005592B"/>
    <w:rsid w:val="000F21A3"/>
    <w:rsid w:val="00144DB5"/>
    <w:rsid w:val="00182D42"/>
    <w:rsid w:val="002B61ED"/>
    <w:rsid w:val="00336240"/>
    <w:rsid w:val="00354E38"/>
    <w:rsid w:val="00452110"/>
    <w:rsid w:val="00456302"/>
    <w:rsid w:val="00462046"/>
    <w:rsid w:val="00474CC5"/>
    <w:rsid w:val="004A7B0A"/>
    <w:rsid w:val="004B4AAA"/>
    <w:rsid w:val="005116A7"/>
    <w:rsid w:val="00586BC2"/>
    <w:rsid w:val="005E60F4"/>
    <w:rsid w:val="00645D38"/>
    <w:rsid w:val="006F6012"/>
    <w:rsid w:val="007228DA"/>
    <w:rsid w:val="00846818"/>
    <w:rsid w:val="00951E6D"/>
    <w:rsid w:val="009707E2"/>
    <w:rsid w:val="00976D61"/>
    <w:rsid w:val="009906A6"/>
    <w:rsid w:val="00A953BC"/>
    <w:rsid w:val="00AA5DAB"/>
    <w:rsid w:val="00C24102"/>
    <w:rsid w:val="00C25AE6"/>
    <w:rsid w:val="00C8537D"/>
    <w:rsid w:val="00C96339"/>
    <w:rsid w:val="00CE53D3"/>
    <w:rsid w:val="00D4114B"/>
    <w:rsid w:val="00DC2C7A"/>
    <w:rsid w:val="00E045F8"/>
    <w:rsid w:val="00E22966"/>
    <w:rsid w:val="00EA4CD5"/>
    <w:rsid w:val="00EB1D2C"/>
    <w:rsid w:val="00EE107F"/>
    <w:rsid w:val="00F55F29"/>
    <w:rsid w:val="00F61F28"/>
    <w:rsid w:val="00F917B7"/>
    <w:rsid w:val="00F952E6"/>
    <w:rsid w:val="00FA02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54E38"/>
    <w:rPr>
      <w:sz w:val="21"/>
      <w:szCs w:val="21"/>
    </w:rPr>
  </w:style>
  <w:style w:type="paragraph" w:styleId="a5">
    <w:name w:val="annotation text"/>
    <w:basedOn w:val="a"/>
    <w:link w:val="Char"/>
    <w:uiPriority w:val="99"/>
    <w:semiHidden/>
    <w:unhideWhenUsed/>
    <w:rsid w:val="00354E38"/>
    <w:pPr>
      <w:jc w:val="left"/>
    </w:pPr>
  </w:style>
  <w:style w:type="character" w:customStyle="1" w:styleId="Char">
    <w:name w:val="批注文字 Char"/>
    <w:basedOn w:val="a0"/>
    <w:link w:val="a5"/>
    <w:uiPriority w:val="99"/>
    <w:semiHidden/>
    <w:rsid w:val="00354E38"/>
  </w:style>
  <w:style w:type="paragraph" w:styleId="a6">
    <w:name w:val="annotation subject"/>
    <w:basedOn w:val="a5"/>
    <w:next w:val="a5"/>
    <w:link w:val="Char0"/>
    <w:uiPriority w:val="99"/>
    <w:semiHidden/>
    <w:unhideWhenUsed/>
    <w:rsid w:val="00354E38"/>
    <w:rPr>
      <w:b/>
      <w:bCs/>
    </w:rPr>
  </w:style>
  <w:style w:type="character" w:customStyle="1" w:styleId="Char0">
    <w:name w:val="批注主题 Char"/>
    <w:basedOn w:val="Char"/>
    <w:link w:val="a6"/>
    <w:uiPriority w:val="99"/>
    <w:semiHidden/>
    <w:rsid w:val="00354E38"/>
    <w:rPr>
      <w:b/>
      <w:bCs/>
    </w:rPr>
  </w:style>
  <w:style w:type="paragraph" w:styleId="a7">
    <w:name w:val="Balloon Text"/>
    <w:basedOn w:val="a"/>
    <w:link w:val="Char1"/>
    <w:uiPriority w:val="99"/>
    <w:semiHidden/>
    <w:unhideWhenUsed/>
    <w:rsid w:val="00354E38"/>
    <w:rPr>
      <w:sz w:val="18"/>
      <w:szCs w:val="18"/>
    </w:rPr>
  </w:style>
  <w:style w:type="character" w:customStyle="1" w:styleId="Char1">
    <w:name w:val="批注框文本 Char"/>
    <w:basedOn w:val="a0"/>
    <w:link w:val="a7"/>
    <w:uiPriority w:val="99"/>
    <w:semiHidden/>
    <w:rsid w:val="00354E38"/>
    <w:rPr>
      <w:sz w:val="18"/>
      <w:szCs w:val="18"/>
    </w:rPr>
  </w:style>
  <w:style w:type="paragraph" w:styleId="a8">
    <w:name w:val="header"/>
    <w:basedOn w:val="a"/>
    <w:link w:val="Char2"/>
    <w:uiPriority w:val="99"/>
    <w:unhideWhenUsed/>
    <w:rsid w:val="0005592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05592B"/>
    <w:rPr>
      <w:sz w:val="18"/>
      <w:szCs w:val="18"/>
    </w:rPr>
  </w:style>
  <w:style w:type="paragraph" w:styleId="a9">
    <w:name w:val="footer"/>
    <w:basedOn w:val="a"/>
    <w:link w:val="Char3"/>
    <w:uiPriority w:val="99"/>
    <w:unhideWhenUsed/>
    <w:rsid w:val="0005592B"/>
    <w:pPr>
      <w:tabs>
        <w:tab w:val="center" w:pos="4153"/>
        <w:tab w:val="right" w:pos="8306"/>
      </w:tabs>
      <w:snapToGrid w:val="0"/>
      <w:jc w:val="left"/>
    </w:pPr>
    <w:rPr>
      <w:sz w:val="18"/>
      <w:szCs w:val="18"/>
    </w:rPr>
  </w:style>
  <w:style w:type="character" w:customStyle="1" w:styleId="Char3">
    <w:name w:val="页脚 Char"/>
    <w:basedOn w:val="a0"/>
    <w:link w:val="a9"/>
    <w:uiPriority w:val="99"/>
    <w:rsid w:val="0005592B"/>
    <w:rPr>
      <w:sz w:val="18"/>
      <w:szCs w:val="18"/>
    </w:rPr>
  </w:style>
  <w:style w:type="paragraph" w:styleId="aa">
    <w:name w:val="Revision"/>
    <w:hidden/>
    <w:uiPriority w:val="99"/>
    <w:semiHidden/>
    <w:rsid w:val="009906A6"/>
  </w:style>
  <w:style w:type="character" w:styleId="ab">
    <w:name w:val="Hyperlink"/>
    <w:basedOn w:val="a0"/>
    <w:uiPriority w:val="99"/>
    <w:semiHidden/>
    <w:unhideWhenUsed/>
    <w:rsid w:val="002B61ED"/>
    <w:rPr>
      <w:color w:val="0000FF"/>
      <w:u w:val="single"/>
    </w:rPr>
  </w:style>
  <w:style w:type="character" w:styleId="ac">
    <w:name w:val="FollowedHyperlink"/>
    <w:basedOn w:val="a0"/>
    <w:uiPriority w:val="99"/>
    <w:semiHidden/>
    <w:unhideWhenUsed/>
    <w:rsid w:val="002B61ED"/>
    <w:rPr>
      <w:color w:val="800080"/>
      <w:u w:val="single"/>
    </w:rPr>
  </w:style>
  <w:style w:type="paragraph" w:customStyle="1" w:styleId="font5">
    <w:name w:val="font5"/>
    <w:basedOn w:val="a"/>
    <w:rsid w:val="002B61ED"/>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rsid w:val="002B61E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4">
    <w:name w:val="xl64"/>
    <w:basedOn w:val="a"/>
    <w:rsid w:val="002B61ED"/>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rsid w:val="002B61ED"/>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465377">
      <w:bodyDiv w:val="1"/>
      <w:marLeft w:val="0"/>
      <w:marRight w:val="0"/>
      <w:marTop w:val="0"/>
      <w:marBottom w:val="0"/>
      <w:divBdr>
        <w:top w:val="none" w:sz="0" w:space="0" w:color="auto"/>
        <w:left w:val="none" w:sz="0" w:space="0" w:color="auto"/>
        <w:bottom w:val="none" w:sz="0" w:space="0" w:color="auto"/>
        <w:right w:val="none" w:sz="0" w:space="0" w:color="auto"/>
      </w:divBdr>
    </w:div>
    <w:div w:id="1020200694">
      <w:bodyDiv w:val="1"/>
      <w:marLeft w:val="0"/>
      <w:marRight w:val="0"/>
      <w:marTop w:val="0"/>
      <w:marBottom w:val="0"/>
      <w:divBdr>
        <w:top w:val="none" w:sz="0" w:space="0" w:color="auto"/>
        <w:left w:val="none" w:sz="0" w:space="0" w:color="auto"/>
        <w:bottom w:val="none" w:sz="0" w:space="0" w:color="auto"/>
        <w:right w:val="none" w:sz="0" w:space="0" w:color="auto"/>
      </w:divBdr>
    </w:div>
    <w:div w:id="127841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7266</Characters>
  <Application>Microsoft Office Word</Application>
  <DocSecurity>4</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dc:creator>
  <cp:keywords/>
  <dc:description/>
  <cp:lastModifiedBy>ZHONGM</cp:lastModifiedBy>
  <cp:revision>2</cp:revision>
  <dcterms:created xsi:type="dcterms:W3CDTF">2022-04-27T16:02:00Z</dcterms:created>
  <dcterms:modified xsi:type="dcterms:W3CDTF">2022-04-27T16:02:00Z</dcterms:modified>
</cp:coreProperties>
</file>